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B732" w14:textId="67664EB5" w:rsidR="00060149" w:rsidRDefault="00CC3205">
      <w:r>
        <w:t xml:space="preserve">Titolo: la rilevazione </w:t>
      </w:r>
      <w:r w:rsidR="007B75DC">
        <w:t xml:space="preserve">qualificata </w:t>
      </w:r>
      <w:r>
        <w:t>dell’agente accertatore in materia di CUP</w:t>
      </w:r>
    </w:p>
    <w:p w14:paraId="358FED39" w14:textId="3F98D5A4" w:rsidR="00CC3205" w:rsidRDefault="00CC3205">
      <w:r>
        <w:t>Di Alessandro Merciari</w:t>
      </w:r>
    </w:p>
    <w:p w14:paraId="366B61CD" w14:textId="77777777" w:rsidR="00CC3205" w:rsidRDefault="00CC3205"/>
    <w:p w14:paraId="500992CE" w14:textId="5D1ADEAA" w:rsidR="00CC3205" w:rsidRDefault="00CC3205" w:rsidP="00175609">
      <w:pPr>
        <w:jc w:val="both"/>
      </w:pPr>
      <w:r>
        <w:t>Una recente sentenza del Tribunale di Latina riporta l’attenzione sulla funzione e qualifica degli addetti alla rilevazione sul territorio in materia di entrate locali con specifico riferimento al Canone Unico ex comma 816 L. 160/2019.</w:t>
      </w:r>
    </w:p>
    <w:p w14:paraId="351A0434" w14:textId="3B357E07" w:rsidR="00CC3205" w:rsidRDefault="00CC3205" w:rsidP="00CC3205">
      <w:pPr>
        <w:jc w:val="both"/>
        <w:rPr>
          <w:i/>
          <w:iCs/>
        </w:rPr>
      </w:pPr>
      <w:r>
        <w:t xml:space="preserve">Nella sentenza n. 2084 del 1 dicembre 2025 il Giudice del Tribunale laziale scrive: </w:t>
      </w:r>
      <w:r>
        <w:rPr>
          <w:i/>
          <w:iCs/>
        </w:rPr>
        <w:t>“</w:t>
      </w:r>
      <w:r w:rsidRPr="00CC3205">
        <w:rPr>
          <w:i/>
          <w:iCs/>
        </w:rPr>
        <w:t xml:space="preserve">Ed invero, come correttamente osservato dalla difesa di l’accertamento oggetto di causa non si fonda sul verbale di violazione al Codice della Strada elevato dalla Polizia Locale del comune di Terracina, bensì su </w:t>
      </w:r>
      <w:r w:rsidRPr="00CC3205">
        <w:rPr>
          <w:b/>
          <w:bCs/>
          <w:i/>
          <w:iCs/>
        </w:rPr>
        <w:t>autonome rilevazioni effettuate da personale dipendente della società nella qualità di agente accertatore/pubblico ufficiale – potere riconosciuto dall’art. 1 comma 179 e seguenti della legge 296/2006 – i cui verbali di accertamento redatti acquistano l’efficacia di atto pubblico</w:t>
      </w:r>
      <w:r w:rsidRPr="00CC3205">
        <w:rPr>
          <w:i/>
          <w:iCs/>
        </w:rPr>
        <w:t xml:space="preserve"> secondo quanto previsto dall’art. 68, comma 1, della legge 23 dicembre 1999 n. 488</w:t>
      </w:r>
      <w:r w:rsidRPr="00CC3205">
        <w:rPr>
          <w:i/>
          <w:iCs/>
        </w:rPr>
        <w:t>”</w:t>
      </w:r>
    </w:p>
    <w:p w14:paraId="7B15CB7F" w14:textId="4B8D8982" w:rsidR="00CC3205" w:rsidRDefault="00CC3205" w:rsidP="00CC3205">
      <w:pPr>
        <w:jc w:val="both"/>
      </w:pPr>
      <w:r>
        <w:t>Il Giudice nell’esaminare la causa evidenzia come l’atto impugnato tra</w:t>
      </w:r>
      <w:r w:rsidR="00325E45">
        <w:t>gga</w:t>
      </w:r>
      <w:r w:rsidR="00A6118B">
        <w:t xml:space="preserve"> la sua</w:t>
      </w:r>
      <w:r>
        <w:t xml:space="preserve"> origine da una rilevazione eseguita da personale della società concessionaria del Comune </w:t>
      </w:r>
      <w:r w:rsidR="00A6118B">
        <w:t xml:space="preserve">redatto </w:t>
      </w:r>
      <w:r>
        <w:t xml:space="preserve">con i poteri </w:t>
      </w:r>
      <w:r w:rsidR="00A6118B">
        <w:t>acquisiti grazie alle disposizioni contenute al comma 179 della legge 296/2006.</w:t>
      </w:r>
    </w:p>
    <w:p w14:paraId="605E454E" w14:textId="32C21A9C" w:rsidR="00A6118B" w:rsidRDefault="00A6118B" w:rsidP="00CC3205">
      <w:pPr>
        <w:jc w:val="both"/>
        <w:rPr>
          <w:i/>
          <w:iCs/>
        </w:rPr>
      </w:pPr>
      <w:r>
        <w:t>In questo senso la decisione viene orientata nel respingere le doglianze di parte attrice confermando l’operato del Comune per tramite della sua concessionaria. Si legge in sentenza: “</w:t>
      </w:r>
      <w:r w:rsidRPr="00A6118B">
        <w:rPr>
          <w:i/>
          <w:iCs/>
        </w:rPr>
        <w:t>In conclusione, l’esame della documentazione prodotta dalle parti opposte - munita di fede privilegiata secondo quanto sopra chiarito - a dimostrazione dell’estensione dell’area occupata e della durata dell’occupazione, la non contestazione, da parte della opponente, della condotta di effettiva occupazione del suolo pubblico, il mancato superamento della presunzione della durata dell’occupazione, come sopra stabilita e la valutazione delle disposizioni richiamate dalla amministrazione opposta al fine di motivare la determinazione del quantum della sanzione comminata, impongono il rigetto di tutte le domande proposte dalla</w:t>
      </w:r>
      <w:r w:rsidRPr="00A6118B">
        <w:rPr>
          <w:i/>
          <w:iCs/>
        </w:rPr>
        <w:t xml:space="preserve"> controparte </w:t>
      </w:r>
      <w:r w:rsidRPr="00A6118B">
        <w:rPr>
          <w:i/>
          <w:iCs/>
        </w:rPr>
        <w:t>siccome giuridicamente infondate.</w:t>
      </w:r>
      <w:r w:rsidRPr="00A6118B">
        <w:rPr>
          <w:i/>
          <w:iCs/>
        </w:rPr>
        <w:t>”</w:t>
      </w:r>
    </w:p>
    <w:p w14:paraId="68C41220" w14:textId="0FB4EA5D" w:rsidR="00D710E6" w:rsidRPr="00D710E6" w:rsidRDefault="00565E68" w:rsidP="00D710E6">
      <w:pPr>
        <w:jc w:val="both"/>
      </w:pPr>
      <w:r>
        <w:t xml:space="preserve">Coglie nel segno il giudice di Latina nel valutare l’operato del </w:t>
      </w:r>
      <w:r w:rsidR="00175609">
        <w:t>personale addetto al controllo del territorio</w:t>
      </w:r>
      <w:r w:rsidR="00D710E6">
        <w:t xml:space="preserve"> seguendo quella </w:t>
      </w:r>
      <w:r w:rsidR="00325E45">
        <w:t>che rappresenta</w:t>
      </w:r>
      <w:r w:rsidR="00D710E6">
        <w:t xml:space="preserve"> </w:t>
      </w:r>
      <w:r w:rsidR="00325E45">
        <w:t xml:space="preserve">ormai </w:t>
      </w:r>
      <w:r w:rsidR="00D710E6" w:rsidRPr="00D710E6">
        <w:t>costante giurisprudenza di Corte</w:t>
      </w:r>
      <w:r w:rsidR="00D710E6" w:rsidRPr="00D710E6">
        <w:t xml:space="preserve"> di Cassazione</w:t>
      </w:r>
      <w:r w:rsidR="00D710E6" w:rsidRPr="00D710E6">
        <w:t xml:space="preserve"> secondo la quale (Cass. 20 marzo 2007 n. 6565; 21 settembre 2006 n. 20441; 28 aprile 2006 n. 9919; 3 dicembre 2002 n. 17106; 14 dicembre 2002 n. 23306; 8 marzo 2001 n. 3350)</w:t>
      </w:r>
      <w:r w:rsidR="00D710E6">
        <w:t>:</w:t>
      </w:r>
      <w:r w:rsidR="00D710E6" w:rsidRPr="00D710E6">
        <w:rPr>
          <w:i/>
          <w:iCs/>
        </w:rPr>
        <w:t xml:space="preserve"> "il verbale di accertamento dell'infrazione assume, quanto all'efficacia probatoria delle circostanze di fatto in esso attestate ed alla loro resistenza alla prova contraria, un valore disomogeneo che si risolve in un triplice livello di attendibilità". </w:t>
      </w:r>
    </w:p>
    <w:p w14:paraId="1FCAFC77" w14:textId="48AC7F1E" w:rsidR="00565E68" w:rsidRDefault="00D710E6" w:rsidP="00D710E6">
      <w:pPr>
        <w:jc w:val="both"/>
      </w:pPr>
      <w:r w:rsidRPr="00D710E6">
        <w:t>La verbalizzazione, infatti</w:t>
      </w:r>
      <w:r>
        <w:t xml:space="preserve"> </w:t>
      </w:r>
      <w:r w:rsidRPr="00D710E6">
        <w:t>fa piena prova, fino a querela di falso, relativamente ai fatti attestati dal pubblico ufficiale come da lui compiuti o avvenuti in sua presenza e che abbia potuto conoscere senza alcun margine di apprezzamento o di percezione sensoriale, nonché alla provenienza del documento dallo stesso pubblico ufficiale ed alle dichiarazioni a lui res</w:t>
      </w:r>
      <w:r>
        <w:t xml:space="preserve">e, e </w:t>
      </w:r>
      <w:r w:rsidRPr="00D710E6">
        <w:t>può essere infirmata solo da prova contraria, qualora la specifica indicazione delle fonti di conoscenza consenta al giudice ed alle parti l'eventuale controllo e valutazione del contenuto delle dichiarazion</w:t>
      </w:r>
      <w:r>
        <w:t>i.</w:t>
      </w:r>
    </w:p>
    <w:p w14:paraId="29A6B2EB" w14:textId="56BDEB17" w:rsidR="00325E45" w:rsidRDefault="00325E45" w:rsidP="00325E45">
      <w:pPr>
        <w:jc w:val="both"/>
      </w:pPr>
      <w:r>
        <w:t xml:space="preserve">Ecco perché oggi possiamo affermare come la </w:t>
      </w:r>
      <w:r w:rsidRPr="00325E45">
        <w:t xml:space="preserve">figura </w:t>
      </w:r>
      <w:r>
        <w:t>dell’Accertatore delle Entrate ex comma 179 L. 296/2006</w:t>
      </w:r>
      <w:r w:rsidRPr="00325E45">
        <w:t xml:space="preserve">, con specifiche competenze in materia di entrate, </w:t>
      </w:r>
      <w:r>
        <w:t>può legittimamente</w:t>
      </w:r>
      <w:r w:rsidRPr="00325E45">
        <w:t xml:space="preserve"> integrare l’attività svolta dall’agente di Polizia Municipale, tipicamente impegnato in materia di violazioni al Codice della Strada. </w:t>
      </w:r>
    </w:p>
    <w:p w14:paraId="5643A4F3" w14:textId="03ADA79D" w:rsidR="00325E45" w:rsidRDefault="00325E45" w:rsidP="00325E45">
      <w:pPr>
        <w:jc w:val="both"/>
      </w:pPr>
      <w:r w:rsidRPr="00325E45">
        <w:t>Nell’istituire questa figura</w:t>
      </w:r>
      <w:r>
        <w:t xml:space="preserve"> ad opera del comma 179 della Legge 296/2006</w:t>
      </w:r>
      <w:r w:rsidRPr="00325E45">
        <w:t xml:space="preserve">, </w:t>
      </w:r>
      <w:r>
        <w:t>venne</w:t>
      </w:r>
      <w:r w:rsidRPr="00325E45">
        <w:t xml:space="preserve"> </w:t>
      </w:r>
      <w:r>
        <w:t xml:space="preserve">infatti conferita la possibilità </w:t>
      </w:r>
      <w:r w:rsidRPr="00325E45">
        <w:t>al personale dell’ente</w:t>
      </w:r>
      <w:r>
        <w:t xml:space="preserve"> locale</w:t>
      </w:r>
      <w:r w:rsidRPr="00325E45">
        <w:t>, di redigere e sottoscrivere verbali di accertamento per le violazioni che vengono commesse nell’ambito del territorio di competenza dell’ente locale. Lo specifico richiamo</w:t>
      </w:r>
      <w:r>
        <w:t xml:space="preserve">, fatto anche dal </w:t>
      </w:r>
      <w:r>
        <w:lastRenderedPageBreak/>
        <w:t>Giudice del Tribunale di Latina,</w:t>
      </w:r>
      <w:r w:rsidRPr="00325E45">
        <w:t xml:space="preserve"> alle disposizioni dell'articolo 68, comma 1, della legge 23 dicembre 1999, n. 488, consente di valutare l’operato dell’accertatore proprio con le caratteristiche tipiche del pubblico ufficiale che adotta atti conformi al disposto dell’articolo 2699 del Codice Civile. Articolo nel quale si stabilisce che l'atto pubblico è il documento redatto, con le richieste formalità, da un notaio o da altro pubblico ufficiale autorizzato ad attribuirgli pubblica fede nel luogo dove l'atto è formato. Il successivo articolo 2700, prevede poi che l'atto pubblico faccia piena prova, fino a querela di falso, della provenienza del documento dal pubblico ufficiale che lo ha formato, nonché delle dichiarazioni delle parti e degli altri fatti che il pubblico ufficiale attesta avvenuti in sua presenza o da lui compiuti. </w:t>
      </w:r>
    </w:p>
    <w:p w14:paraId="05CB43D2" w14:textId="6F4AB10D" w:rsidR="00325E45" w:rsidRPr="00325E45" w:rsidRDefault="00325E45" w:rsidP="00325E45">
      <w:pPr>
        <w:jc w:val="both"/>
      </w:pPr>
      <w:r>
        <w:t>Ancora una volta una sentenza di Tribunale riconosce l’importanza del verbale redatto da pubblico ufficiale individuato nella disciplina del Canone Unico</w:t>
      </w:r>
      <w:r w:rsidR="00554F2B">
        <w:t>, quale entrata comunale,</w:t>
      </w:r>
      <w:r>
        <w:t xml:space="preserve"> nella figura istituita con la Legge Finanziaria del 2007</w:t>
      </w:r>
      <w:r w:rsidR="00554F2B">
        <w:t>.</w:t>
      </w:r>
    </w:p>
    <w:p w14:paraId="48FA5E0A" w14:textId="46B4F9F6" w:rsidR="00325E45" w:rsidRPr="00D710E6" w:rsidRDefault="00325E45" w:rsidP="00325E45">
      <w:pPr>
        <w:jc w:val="both"/>
      </w:pPr>
    </w:p>
    <w:sectPr w:rsidR="00325E45" w:rsidRPr="00D710E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37"/>
    <w:rsid w:val="00060149"/>
    <w:rsid w:val="00175609"/>
    <w:rsid w:val="00325E45"/>
    <w:rsid w:val="00554F2B"/>
    <w:rsid w:val="00565E68"/>
    <w:rsid w:val="007B1496"/>
    <w:rsid w:val="007B75DC"/>
    <w:rsid w:val="00A6118B"/>
    <w:rsid w:val="00B3305C"/>
    <w:rsid w:val="00C34337"/>
    <w:rsid w:val="00CC3205"/>
    <w:rsid w:val="00D710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4CD5F"/>
  <w15:chartTrackingRefBased/>
  <w15:docId w15:val="{1E4AC272-47F7-47A9-913D-9D819658E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34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34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3433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3433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3433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3433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3433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3433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3433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3433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3433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3433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3433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3433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3433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3433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3433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3433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3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343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3433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3433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3433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34337"/>
    <w:rPr>
      <w:i/>
      <w:iCs/>
      <w:color w:val="404040" w:themeColor="text1" w:themeTint="BF"/>
    </w:rPr>
  </w:style>
  <w:style w:type="paragraph" w:styleId="Paragrafoelenco">
    <w:name w:val="List Paragraph"/>
    <w:basedOn w:val="Normale"/>
    <w:uiPriority w:val="34"/>
    <w:qFormat/>
    <w:rsid w:val="00C34337"/>
    <w:pPr>
      <w:ind w:left="720"/>
      <w:contextualSpacing/>
    </w:pPr>
  </w:style>
  <w:style w:type="character" w:styleId="Enfasiintensa">
    <w:name w:val="Intense Emphasis"/>
    <w:basedOn w:val="Carpredefinitoparagrafo"/>
    <w:uiPriority w:val="21"/>
    <w:qFormat/>
    <w:rsid w:val="00C34337"/>
    <w:rPr>
      <w:i/>
      <w:iCs/>
      <w:color w:val="2F5496" w:themeColor="accent1" w:themeShade="BF"/>
    </w:rPr>
  </w:style>
  <w:style w:type="paragraph" w:styleId="Citazioneintensa">
    <w:name w:val="Intense Quote"/>
    <w:basedOn w:val="Normale"/>
    <w:next w:val="Normale"/>
    <w:link w:val="CitazioneintensaCarattere"/>
    <w:uiPriority w:val="30"/>
    <w:qFormat/>
    <w:rsid w:val="00C34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34337"/>
    <w:rPr>
      <w:i/>
      <w:iCs/>
      <w:color w:val="2F5496" w:themeColor="accent1" w:themeShade="BF"/>
    </w:rPr>
  </w:style>
  <w:style w:type="character" w:styleId="Riferimentointenso">
    <w:name w:val="Intense Reference"/>
    <w:basedOn w:val="Carpredefinitoparagrafo"/>
    <w:uiPriority w:val="32"/>
    <w:qFormat/>
    <w:rsid w:val="00C343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2</Pages>
  <Words>755</Words>
  <Characters>4310</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2025-12-17T11:36:00Z</dcterms:created>
  <dcterms:modified xsi:type="dcterms:W3CDTF">2025-12-17T15:13:00Z</dcterms:modified>
</cp:coreProperties>
</file>