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A97FC" w14:textId="2AA9C5D5" w:rsidR="00FC5373" w:rsidRDefault="00FC5373" w:rsidP="00007552">
      <w:pPr>
        <w:jc w:val="both"/>
        <w:rPr>
          <w:rFonts w:ascii="Times New Roman" w:hAnsi="Times New Roman" w:cs="Times New Roman"/>
          <w:b/>
          <w:bCs/>
          <w:sz w:val="24"/>
          <w:szCs w:val="24"/>
        </w:rPr>
      </w:pPr>
      <w:r w:rsidRPr="00970966">
        <w:rPr>
          <w:rFonts w:ascii="Times New Roman" w:hAnsi="Times New Roman" w:cs="Times New Roman"/>
          <w:b/>
          <w:bCs/>
          <w:sz w:val="24"/>
          <w:szCs w:val="24"/>
        </w:rPr>
        <w:t xml:space="preserve">Titolo: </w:t>
      </w:r>
      <w:r w:rsidR="00171E7C" w:rsidRPr="00970966">
        <w:rPr>
          <w:rFonts w:ascii="Times New Roman" w:hAnsi="Times New Roman" w:cs="Times New Roman"/>
          <w:b/>
          <w:bCs/>
          <w:sz w:val="24"/>
          <w:szCs w:val="24"/>
        </w:rPr>
        <w:t xml:space="preserve">Le antenne di telefonia </w:t>
      </w:r>
      <w:r w:rsidR="007E510C">
        <w:rPr>
          <w:rFonts w:ascii="Times New Roman" w:hAnsi="Times New Roman" w:cs="Times New Roman"/>
          <w:b/>
          <w:bCs/>
          <w:sz w:val="24"/>
          <w:szCs w:val="24"/>
        </w:rPr>
        <w:t xml:space="preserve">installate sul patrimonio disponibile degli enti devono pagare il canone di locazione e non il CUP forfetario stabilito </w:t>
      </w:r>
      <w:r w:rsidR="000E5256">
        <w:rPr>
          <w:rFonts w:ascii="Times New Roman" w:hAnsi="Times New Roman" w:cs="Times New Roman"/>
          <w:b/>
          <w:bCs/>
          <w:sz w:val="24"/>
          <w:szCs w:val="24"/>
        </w:rPr>
        <w:t>n</w:t>
      </w:r>
      <w:r w:rsidR="007E510C">
        <w:rPr>
          <w:rFonts w:ascii="Times New Roman" w:hAnsi="Times New Roman" w:cs="Times New Roman"/>
          <w:b/>
          <w:bCs/>
          <w:sz w:val="24"/>
          <w:szCs w:val="24"/>
        </w:rPr>
        <w:t>el comma 831 bis della Legge 160/2019</w:t>
      </w:r>
    </w:p>
    <w:p w14:paraId="1676546F" w14:textId="6024438B" w:rsidR="006F7825" w:rsidRPr="00970966" w:rsidRDefault="006F7825" w:rsidP="00007552">
      <w:pPr>
        <w:jc w:val="both"/>
        <w:rPr>
          <w:rFonts w:ascii="Times New Roman" w:hAnsi="Times New Roman" w:cs="Times New Roman"/>
          <w:b/>
          <w:bCs/>
          <w:sz w:val="24"/>
          <w:szCs w:val="24"/>
        </w:rPr>
      </w:pPr>
      <w:r>
        <w:rPr>
          <w:rFonts w:ascii="Times New Roman" w:hAnsi="Times New Roman" w:cs="Times New Roman"/>
          <w:b/>
          <w:bCs/>
          <w:sz w:val="24"/>
          <w:szCs w:val="24"/>
        </w:rPr>
        <w:t>Di Alessandro Merciari</w:t>
      </w:r>
    </w:p>
    <w:p w14:paraId="3F6DB2C3" w14:textId="4EF9EF55" w:rsidR="007E510C" w:rsidRDefault="007E510C" w:rsidP="00007552">
      <w:pPr>
        <w:jc w:val="both"/>
        <w:rPr>
          <w:rFonts w:ascii="Times New Roman" w:hAnsi="Times New Roman" w:cs="Times New Roman"/>
          <w:sz w:val="24"/>
          <w:szCs w:val="24"/>
        </w:rPr>
      </w:pPr>
      <w:r>
        <w:rPr>
          <w:rFonts w:ascii="Times New Roman" w:hAnsi="Times New Roman" w:cs="Times New Roman"/>
          <w:sz w:val="24"/>
          <w:szCs w:val="24"/>
        </w:rPr>
        <w:t xml:space="preserve">La problematica legata al pagamento del suolo pubblico per le installazioni delle antenne di telefonia mobile si arricchisce di una nuova sentenza, in linea con quanto già deciso dalla Corte d’appello di Venezia di cui abbiamo scritto </w:t>
      </w:r>
      <w:r w:rsidR="000E5256">
        <w:rPr>
          <w:rFonts w:ascii="Times New Roman" w:hAnsi="Times New Roman" w:cs="Times New Roman"/>
          <w:sz w:val="24"/>
          <w:szCs w:val="24"/>
        </w:rPr>
        <w:t>nel</w:t>
      </w:r>
      <w:r>
        <w:rPr>
          <w:rFonts w:ascii="Times New Roman" w:hAnsi="Times New Roman" w:cs="Times New Roman"/>
          <w:sz w:val="24"/>
          <w:szCs w:val="24"/>
        </w:rPr>
        <w:t>le scorse settimane.</w:t>
      </w:r>
    </w:p>
    <w:p w14:paraId="16D69571" w14:textId="7E642151" w:rsidR="00325C10" w:rsidRDefault="007E510C" w:rsidP="00007552">
      <w:pPr>
        <w:jc w:val="both"/>
        <w:rPr>
          <w:rFonts w:ascii="Times New Roman" w:hAnsi="Times New Roman" w:cs="Times New Roman"/>
          <w:sz w:val="24"/>
          <w:szCs w:val="24"/>
        </w:rPr>
      </w:pPr>
      <w:r>
        <w:rPr>
          <w:rFonts w:ascii="Times New Roman" w:hAnsi="Times New Roman" w:cs="Times New Roman"/>
          <w:sz w:val="24"/>
          <w:szCs w:val="24"/>
        </w:rPr>
        <w:t>Ora a</w:t>
      </w:r>
      <w:r w:rsidR="00325C10">
        <w:rPr>
          <w:rFonts w:ascii="Times New Roman" w:hAnsi="Times New Roman" w:cs="Times New Roman"/>
          <w:sz w:val="24"/>
          <w:szCs w:val="24"/>
        </w:rPr>
        <w:t xml:space="preserve"> pronunciarsi è la terza sezione della </w:t>
      </w:r>
      <w:r w:rsidR="00325C10" w:rsidRPr="007E510C">
        <w:rPr>
          <w:rFonts w:ascii="Times New Roman" w:hAnsi="Times New Roman" w:cs="Times New Roman"/>
          <w:sz w:val="24"/>
          <w:szCs w:val="24"/>
        </w:rPr>
        <w:t>Corte d'Appello Milano</w:t>
      </w:r>
      <w:r w:rsidR="00325C10">
        <w:rPr>
          <w:rFonts w:ascii="Times New Roman" w:hAnsi="Times New Roman" w:cs="Times New Roman"/>
          <w:sz w:val="24"/>
          <w:szCs w:val="24"/>
        </w:rPr>
        <w:t xml:space="preserve">, </w:t>
      </w:r>
      <w:r w:rsidR="000E5256">
        <w:rPr>
          <w:rFonts w:ascii="Times New Roman" w:hAnsi="Times New Roman" w:cs="Times New Roman"/>
          <w:sz w:val="24"/>
          <w:szCs w:val="24"/>
        </w:rPr>
        <w:t xml:space="preserve">con </w:t>
      </w:r>
      <w:r w:rsidR="000E5256" w:rsidRPr="007E510C">
        <w:rPr>
          <w:rFonts w:ascii="Times New Roman" w:hAnsi="Times New Roman" w:cs="Times New Roman"/>
          <w:sz w:val="24"/>
          <w:szCs w:val="24"/>
        </w:rPr>
        <w:t>la</w:t>
      </w:r>
      <w:r w:rsidR="00325C10">
        <w:rPr>
          <w:rFonts w:ascii="Times New Roman" w:hAnsi="Times New Roman" w:cs="Times New Roman"/>
          <w:sz w:val="24"/>
          <w:szCs w:val="24"/>
        </w:rPr>
        <w:t xml:space="preserve"> sentenza </w:t>
      </w:r>
      <w:r w:rsidRPr="007E510C">
        <w:rPr>
          <w:rFonts w:ascii="Times New Roman" w:hAnsi="Times New Roman" w:cs="Times New Roman"/>
          <w:sz w:val="24"/>
          <w:szCs w:val="24"/>
        </w:rPr>
        <w:t>n. 3638</w:t>
      </w:r>
      <w:r>
        <w:rPr>
          <w:rFonts w:ascii="Times New Roman" w:hAnsi="Times New Roman" w:cs="Times New Roman"/>
          <w:sz w:val="24"/>
          <w:szCs w:val="24"/>
        </w:rPr>
        <w:t xml:space="preserve"> </w:t>
      </w:r>
      <w:r w:rsidRPr="007E510C">
        <w:rPr>
          <w:rFonts w:ascii="Times New Roman" w:hAnsi="Times New Roman" w:cs="Times New Roman"/>
          <w:sz w:val="24"/>
          <w:szCs w:val="24"/>
        </w:rPr>
        <w:t>del 5/12/2022</w:t>
      </w:r>
      <w:r w:rsidR="00325C10">
        <w:rPr>
          <w:rFonts w:ascii="Times New Roman" w:hAnsi="Times New Roman" w:cs="Times New Roman"/>
          <w:sz w:val="24"/>
          <w:szCs w:val="24"/>
        </w:rPr>
        <w:t>.</w:t>
      </w:r>
    </w:p>
    <w:p w14:paraId="60BA8039" w14:textId="64D17A94" w:rsidR="00325C10" w:rsidRDefault="00325C10" w:rsidP="00007552">
      <w:pPr>
        <w:jc w:val="both"/>
        <w:rPr>
          <w:rFonts w:ascii="Times New Roman" w:hAnsi="Times New Roman" w:cs="Times New Roman"/>
          <w:sz w:val="24"/>
          <w:szCs w:val="24"/>
        </w:rPr>
      </w:pPr>
      <w:r>
        <w:rPr>
          <w:rFonts w:ascii="Times New Roman" w:hAnsi="Times New Roman" w:cs="Times New Roman"/>
          <w:sz w:val="24"/>
          <w:szCs w:val="24"/>
        </w:rPr>
        <w:t xml:space="preserve">La vertenza </w:t>
      </w:r>
      <w:r w:rsidR="00E61220">
        <w:rPr>
          <w:rFonts w:ascii="Times New Roman" w:hAnsi="Times New Roman" w:cs="Times New Roman"/>
          <w:sz w:val="24"/>
          <w:szCs w:val="24"/>
        </w:rPr>
        <w:t xml:space="preserve">milanese </w:t>
      </w:r>
      <w:r>
        <w:rPr>
          <w:rFonts w:ascii="Times New Roman" w:hAnsi="Times New Roman" w:cs="Times New Roman"/>
          <w:sz w:val="24"/>
          <w:szCs w:val="24"/>
        </w:rPr>
        <w:t xml:space="preserve">è basata </w:t>
      </w:r>
      <w:r w:rsidR="00E61220">
        <w:rPr>
          <w:rFonts w:ascii="Times New Roman" w:hAnsi="Times New Roman" w:cs="Times New Roman"/>
          <w:sz w:val="24"/>
          <w:szCs w:val="24"/>
        </w:rPr>
        <w:t>ancora</w:t>
      </w:r>
      <w:r w:rsidR="000E5256">
        <w:rPr>
          <w:rFonts w:ascii="Times New Roman" w:hAnsi="Times New Roman" w:cs="Times New Roman"/>
          <w:sz w:val="24"/>
          <w:szCs w:val="24"/>
        </w:rPr>
        <w:t xml:space="preserve"> una volta </w:t>
      </w:r>
      <w:r w:rsidR="00E61220">
        <w:rPr>
          <w:rFonts w:ascii="Times New Roman" w:hAnsi="Times New Roman" w:cs="Times New Roman"/>
          <w:sz w:val="24"/>
          <w:szCs w:val="24"/>
        </w:rPr>
        <w:t xml:space="preserve">sulla contrapposizione di </w:t>
      </w:r>
      <w:r>
        <w:rPr>
          <w:rFonts w:ascii="Times New Roman" w:hAnsi="Times New Roman" w:cs="Times New Roman"/>
          <w:sz w:val="24"/>
          <w:szCs w:val="24"/>
        </w:rPr>
        <w:t>due visioni, da una parte le compagnie telefoniche e le società che installano antenne e ripetitori che sostengono che le proprie occupazioni devono sempre essere considerate come effettuate su area appartenente al patrimonio indisponibile, proprio per la natura dell’occupazione stessa</w:t>
      </w:r>
      <w:r w:rsidR="000E5256">
        <w:rPr>
          <w:rFonts w:ascii="Times New Roman" w:hAnsi="Times New Roman" w:cs="Times New Roman"/>
          <w:sz w:val="24"/>
          <w:szCs w:val="24"/>
        </w:rPr>
        <w:t xml:space="preserve"> riconducibile a detta loro a servizio pubblico</w:t>
      </w:r>
      <w:r>
        <w:rPr>
          <w:rFonts w:ascii="Times New Roman" w:hAnsi="Times New Roman" w:cs="Times New Roman"/>
          <w:sz w:val="24"/>
          <w:szCs w:val="24"/>
        </w:rPr>
        <w:t>, dall’altra i Comuni che viceversa ritengono di poter trattare l’area data in concessione come appartenente al proprio patrimonio disponibile</w:t>
      </w:r>
      <w:r w:rsidR="000E5256">
        <w:rPr>
          <w:rFonts w:ascii="Times New Roman" w:hAnsi="Times New Roman" w:cs="Times New Roman"/>
          <w:sz w:val="24"/>
          <w:szCs w:val="24"/>
        </w:rPr>
        <w:t>, e quindi soggetta a disciplina civilistica</w:t>
      </w:r>
      <w:r>
        <w:rPr>
          <w:rFonts w:ascii="Times New Roman" w:hAnsi="Times New Roman" w:cs="Times New Roman"/>
          <w:sz w:val="24"/>
          <w:szCs w:val="24"/>
        </w:rPr>
        <w:t>.</w:t>
      </w:r>
    </w:p>
    <w:p w14:paraId="3283E5CA" w14:textId="26805CBE" w:rsidR="00325C10" w:rsidRDefault="00325C10" w:rsidP="00007552">
      <w:pPr>
        <w:jc w:val="both"/>
        <w:rPr>
          <w:rFonts w:ascii="Times New Roman" w:hAnsi="Times New Roman" w:cs="Times New Roman"/>
          <w:sz w:val="24"/>
          <w:szCs w:val="24"/>
        </w:rPr>
      </w:pPr>
      <w:r>
        <w:rPr>
          <w:rFonts w:ascii="Times New Roman" w:hAnsi="Times New Roman" w:cs="Times New Roman"/>
          <w:sz w:val="24"/>
          <w:szCs w:val="24"/>
        </w:rPr>
        <w:t xml:space="preserve">Perché questa </w:t>
      </w:r>
      <w:r w:rsidR="000E5256">
        <w:rPr>
          <w:rFonts w:ascii="Times New Roman" w:hAnsi="Times New Roman" w:cs="Times New Roman"/>
          <w:sz w:val="24"/>
          <w:szCs w:val="24"/>
        </w:rPr>
        <w:t xml:space="preserve">netta </w:t>
      </w:r>
      <w:r>
        <w:rPr>
          <w:rFonts w:ascii="Times New Roman" w:hAnsi="Times New Roman" w:cs="Times New Roman"/>
          <w:sz w:val="24"/>
          <w:szCs w:val="24"/>
        </w:rPr>
        <w:t xml:space="preserve">divergenza? Gli interessi delle due parti sono </w:t>
      </w:r>
      <w:r w:rsidR="000E5256">
        <w:rPr>
          <w:rFonts w:ascii="Times New Roman" w:hAnsi="Times New Roman" w:cs="Times New Roman"/>
          <w:sz w:val="24"/>
          <w:szCs w:val="24"/>
        </w:rPr>
        <w:t xml:space="preserve">fortemente </w:t>
      </w:r>
      <w:r>
        <w:rPr>
          <w:rFonts w:ascii="Times New Roman" w:hAnsi="Times New Roman" w:cs="Times New Roman"/>
          <w:sz w:val="24"/>
          <w:szCs w:val="24"/>
        </w:rPr>
        <w:t>contrapposti, le compagnie telefoniche vorrebbero rientrare nell’ambito applicativo del Canone Unico, che stabilisce al comma 831 bis, articolo 1 Legge 160/2019 che questi manufatti installati su suolo pubblico devono versare una tariffa forfetaria fissata in misura di euro 800,00 annui,  misura soggetta a rivalutazione Istat annuale</w:t>
      </w:r>
      <w:r w:rsidR="000E5256">
        <w:rPr>
          <w:rFonts w:ascii="Times New Roman" w:hAnsi="Times New Roman" w:cs="Times New Roman"/>
          <w:sz w:val="24"/>
          <w:szCs w:val="24"/>
        </w:rPr>
        <w:t xml:space="preserve">. </w:t>
      </w:r>
      <w:r w:rsidR="00E61220">
        <w:rPr>
          <w:rFonts w:ascii="Times New Roman" w:hAnsi="Times New Roman" w:cs="Times New Roman"/>
          <w:sz w:val="24"/>
          <w:szCs w:val="24"/>
        </w:rPr>
        <w:t>Somma evidentemente</w:t>
      </w:r>
      <w:r>
        <w:rPr>
          <w:rFonts w:ascii="Times New Roman" w:hAnsi="Times New Roman" w:cs="Times New Roman"/>
          <w:sz w:val="24"/>
          <w:szCs w:val="24"/>
        </w:rPr>
        <w:t xml:space="preserve"> conveniente</w:t>
      </w:r>
      <w:r w:rsidR="00E61220">
        <w:rPr>
          <w:rFonts w:ascii="Times New Roman" w:hAnsi="Times New Roman" w:cs="Times New Roman"/>
          <w:sz w:val="24"/>
          <w:szCs w:val="24"/>
        </w:rPr>
        <w:t xml:space="preserve"> per le compagnie</w:t>
      </w:r>
      <w:r>
        <w:rPr>
          <w:rFonts w:ascii="Times New Roman" w:hAnsi="Times New Roman" w:cs="Times New Roman"/>
          <w:sz w:val="24"/>
          <w:szCs w:val="24"/>
        </w:rPr>
        <w:t xml:space="preserve">, </w:t>
      </w:r>
      <w:r w:rsidR="000E5256">
        <w:rPr>
          <w:rFonts w:ascii="Times New Roman" w:hAnsi="Times New Roman" w:cs="Times New Roman"/>
          <w:sz w:val="24"/>
          <w:szCs w:val="24"/>
        </w:rPr>
        <w:t xml:space="preserve">molto </w:t>
      </w:r>
      <w:r>
        <w:rPr>
          <w:rFonts w:ascii="Times New Roman" w:hAnsi="Times New Roman" w:cs="Times New Roman"/>
          <w:sz w:val="24"/>
          <w:szCs w:val="24"/>
        </w:rPr>
        <w:t>distante dalle pretese dei comuni</w:t>
      </w:r>
      <w:r w:rsidR="000E5256">
        <w:rPr>
          <w:rFonts w:ascii="Times New Roman" w:hAnsi="Times New Roman" w:cs="Times New Roman"/>
          <w:sz w:val="24"/>
          <w:szCs w:val="24"/>
        </w:rPr>
        <w:t>,</w:t>
      </w:r>
      <w:r>
        <w:rPr>
          <w:rFonts w:ascii="Times New Roman" w:hAnsi="Times New Roman" w:cs="Times New Roman"/>
          <w:sz w:val="24"/>
          <w:szCs w:val="24"/>
        </w:rPr>
        <w:t xml:space="preserve"> che giustamente valutano il valore del proprio terreno in modo differente. Se consideriamo infatti il beneficio economico che deriva dallo sfruttamento </w:t>
      </w:r>
      <w:r w:rsidR="00E61220">
        <w:rPr>
          <w:rFonts w:ascii="Times New Roman" w:hAnsi="Times New Roman" w:cs="Times New Roman"/>
          <w:sz w:val="24"/>
          <w:szCs w:val="24"/>
        </w:rPr>
        <w:t>delle</w:t>
      </w:r>
      <w:r>
        <w:rPr>
          <w:rFonts w:ascii="Times New Roman" w:hAnsi="Times New Roman" w:cs="Times New Roman"/>
          <w:sz w:val="24"/>
          <w:szCs w:val="24"/>
        </w:rPr>
        <w:t xml:space="preserve"> antenne</w:t>
      </w:r>
      <w:r w:rsidR="000E5256">
        <w:rPr>
          <w:rFonts w:ascii="Times New Roman" w:hAnsi="Times New Roman" w:cs="Times New Roman"/>
          <w:sz w:val="24"/>
          <w:szCs w:val="24"/>
        </w:rPr>
        <w:t>,</w:t>
      </w:r>
      <w:r>
        <w:rPr>
          <w:rFonts w:ascii="Times New Roman" w:hAnsi="Times New Roman" w:cs="Times New Roman"/>
          <w:sz w:val="24"/>
          <w:szCs w:val="24"/>
        </w:rPr>
        <w:t xml:space="preserve"> e se valutiamo il sacrifico </w:t>
      </w:r>
      <w:r w:rsidR="00E61220">
        <w:rPr>
          <w:rFonts w:ascii="Times New Roman" w:hAnsi="Times New Roman" w:cs="Times New Roman"/>
          <w:sz w:val="24"/>
          <w:szCs w:val="24"/>
        </w:rPr>
        <w:t>imposto</w:t>
      </w:r>
      <w:r>
        <w:rPr>
          <w:rFonts w:ascii="Times New Roman" w:hAnsi="Times New Roman" w:cs="Times New Roman"/>
          <w:sz w:val="24"/>
          <w:szCs w:val="24"/>
        </w:rPr>
        <w:t xml:space="preserve"> alla collettività in materia di salute pubblica</w:t>
      </w:r>
      <w:r w:rsidR="000E5256">
        <w:rPr>
          <w:rFonts w:ascii="Times New Roman" w:hAnsi="Times New Roman" w:cs="Times New Roman"/>
          <w:sz w:val="24"/>
          <w:szCs w:val="24"/>
        </w:rPr>
        <w:t xml:space="preserve">, oltre che di decoro urbano, </w:t>
      </w:r>
      <w:r>
        <w:rPr>
          <w:rFonts w:ascii="Times New Roman" w:hAnsi="Times New Roman" w:cs="Times New Roman"/>
          <w:sz w:val="24"/>
          <w:szCs w:val="24"/>
        </w:rPr>
        <w:t xml:space="preserve"> per la presenza di questi ripetitori di segnale </w:t>
      </w:r>
      <w:r w:rsidR="000E5256">
        <w:rPr>
          <w:rFonts w:ascii="Times New Roman" w:hAnsi="Times New Roman" w:cs="Times New Roman"/>
          <w:sz w:val="24"/>
          <w:szCs w:val="24"/>
        </w:rPr>
        <w:t xml:space="preserve">spesso collocati </w:t>
      </w:r>
      <w:r>
        <w:rPr>
          <w:rFonts w:ascii="Times New Roman" w:hAnsi="Times New Roman" w:cs="Times New Roman"/>
          <w:sz w:val="24"/>
          <w:szCs w:val="24"/>
        </w:rPr>
        <w:t>vicino alle case dei cittadini</w:t>
      </w:r>
      <w:r w:rsidR="00E61220">
        <w:rPr>
          <w:rFonts w:ascii="Times New Roman" w:hAnsi="Times New Roman" w:cs="Times New Roman"/>
          <w:sz w:val="24"/>
          <w:szCs w:val="24"/>
        </w:rPr>
        <w:t>, il corrispettivo atteso dalle Pubbliche Amministrazioni non può essere soddisfatto davvero da una somma di 800 euro l’anno.</w:t>
      </w:r>
    </w:p>
    <w:p w14:paraId="260F36FA" w14:textId="77777777" w:rsidR="000E5256" w:rsidRDefault="00E61220" w:rsidP="00E61220">
      <w:pPr>
        <w:jc w:val="both"/>
        <w:rPr>
          <w:rFonts w:ascii="Times New Roman" w:hAnsi="Times New Roman" w:cs="Times New Roman"/>
          <w:sz w:val="24"/>
          <w:szCs w:val="24"/>
        </w:rPr>
      </w:pPr>
      <w:r>
        <w:rPr>
          <w:rFonts w:ascii="Times New Roman" w:hAnsi="Times New Roman" w:cs="Times New Roman"/>
          <w:sz w:val="24"/>
          <w:szCs w:val="24"/>
        </w:rPr>
        <w:t>I giudici della Corte d’appello di Milano hanno</w:t>
      </w:r>
      <w:r w:rsidR="000E5256">
        <w:rPr>
          <w:rFonts w:ascii="Times New Roman" w:hAnsi="Times New Roman" w:cs="Times New Roman"/>
          <w:sz w:val="24"/>
          <w:szCs w:val="24"/>
        </w:rPr>
        <w:t xml:space="preserve"> </w:t>
      </w:r>
      <w:r>
        <w:rPr>
          <w:rFonts w:ascii="Times New Roman" w:hAnsi="Times New Roman" w:cs="Times New Roman"/>
          <w:sz w:val="24"/>
          <w:szCs w:val="24"/>
        </w:rPr>
        <w:t xml:space="preserve">emesso la loro sentenza andando nella stessa direzione dei colleghi di Venezia che si erano pronunciati qualche mese prima. </w:t>
      </w:r>
    </w:p>
    <w:p w14:paraId="4D9A3A0B" w14:textId="57F9D28C" w:rsidR="00E61220" w:rsidRDefault="00E61220" w:rsidP="00E61220">
      <w:pPr>
        <w:jc w:val="both"/>
        <w:rPr>
          <w:rFonts w:ascii="Times New Roman" w:hAnsi="Times New Roman" w:cs="Times New Roman"/>
          <w:i/>
          <w:iCs/>
          <w:sz w:val="24"/>
          <w:szCs w:val="24"/>
        </w:rPr>
      </w:pPr>
      <w:r>
        <w:rPr>
          <w:rFonts w:ascii="Times New Roman" w:hAnsi="Times New Roman" w:cs="Times New Roman"/>
          <w:sz w:val="24"/>
          <w:szCs w:val="24"/>
        </w:rPr>
        <w:t>Nella sentenza si legge: “</w:t>
      </w:r>
      <w:r w:rsidRPr="00E61220">
        <w:rPr>
          <w:rFonts w:ascii="Times New Roman" w:hAnsi="Times New Roman" w:cs="Times New Roman"/>
          <w:i/>
          <w:iCs/>
          <w:sz w:val="24"/>
          <w:szCs w:val="24"/>
        </w:rPr>
        <w:t>Richiama la Corte l'art. 826 cod. civ. che stabilisce che fanno parte del patrimonio indisponibile dello Stato, delle province o dei comuni, i beni destinati a sedi di uffici pubblici e gli altri beni destinati a un pubblico servizio. La portata della norma è stata oggetto di numerose pronunce della giurisprudenza di legittimità, in particolare va richiamato il consolidato orientamento (</w:t>
      </w:r>
      <w:proofErr w:type="spellStart"/>
      <w:r w:rsidRPr="00E61220">
        <w:rPr>
          <w:rFonts w:ascii="Times New Roman" w:hAnsi="Times New Roman" w:cs="Times New Roman"/>
          <w:i/>
          <w:iCs/>
          <w:sz w:val="24"/>
          <w:szCs w:val="24"/>
        </w:rPr>
        <w:t>Cass.Sez</w:t>
      </w:r>
      <w:proofErr w:type="spellEnd"/>
      <w:r w:rsidRPr="00E61220">
        <w:rPr>
          <w:rFonts w:ascii="Times New Roman" w:hAnsi="Times New Roman" w:cs="Times New Roman"/>
          <w:i/>
          <w:iCs/>
          <w:sz w:val="24"/>
          <w:szCs w:val="24"/>
        </w:rPr>
        <w:t xml:space="preserve">. Unite n. 21991 del 2020 e Cass. S.U. 15.7.1999, n. 391 ), secondo cui </w:t>
      </w:r>
      <w:r w:rsidRPr="00E61220">
        <w:rPr>
          <w:rFonts w:ascii="Times New Roman" w:hAnsi="Times New Roman" w:cs="Times New Roman"/>
          <w:i/>
          <w:iCs/>
          <w:sz w:val="24"/>
          <w:szCs w:val="24"/>
          <w:u w:val="single"/>
        </w:rPr>
        <w:t>affinché un bene, non appartenente al demanio necessario, possa rivestire il carattere pubblico proprio dei beni patrimoniali indisponibili ai sensi dell'art. 826 c.c., comma 3, deve sussistere il doppio requisito (soggettivo e oggettivo) della manifestazione di volontà dell'ente titolare del diritto reale pubblico e dell'effettiva e attuale destinazione del bene al pubblico servizio</w:t>
      </w:r>
      <w:r w:rsidRPr="00E61220">
        <w:rPr>
          <w:rFonts w:ascii="Times New Roman" w:hAnsi="Times New Roman" w:cs="Times New Roman"/>
          <w:i/>
          <w:iCs/>
          <w:sz w:val="24"/>
          <w:szCs w:val="24"/>
        </w:rPr>
        <w:t>;”</w:t>
      </w:r>
    </w:p>
    <w:p w14:paraId="29093A84" w14:textId="27FDCA2D" w:rsidR="001D19DC" w:rsidRDefault="001D19DC" w:rsidP="00E61220">
      <w:pPr>
        <w:jc w:val="both"/>
        <w:rPr>
          <w:rFonts w:ascii="Times New Roman" w:hAnsi="Times New Roman" w:cs="Times New Roman"/>
          <w:sz w:val="24"/>
          <w:szCs w:val="24"/>
        </w:rPr>
      </w:pPr>
      <w:r>
        <w:rPr>
          <w:rFonts w:ascii="Times New Roman" w:hAnsi="Times New Roman" w:cs="Times New Roman"/>
          <w:sz w:val="24"/>
          <w:szCs w:val="24"/>
        </w:rPr>
        <w:t xml:space="preserve">Doppio requisito che non si rinviene </w:t>
      </w:r>
      <w:r w:rsidR="000E5256">
        <w:rPr>
          <w:rFonts w:ascii="Times New Roman" w:hAnsi="Times New Roman" w:cs="Times New Roman"/>
          <w:sz w:val="24"/>
          <w:szCs w:val="24"/>
        </w:rPr>
        <w:t xml:space="preserve">quindi </w:t>
      </w:r>
      <w:r>
        <w:rPr>
          <w:rFonts w:ascii="Times New Roman" w:hAnsi="Times New Roman" w:cs="Times New Roman"/>
          <w:sz w:val="24"/>
          <w:szCs w:val="24"/>
        </w:rPr>
        <w:t>nel caso di installazione di antenne per la telefonia mobile. La posizione delle compagnie, che ritenevano di poter rientrare nelle ipotesi di servizio pubblico di cui all’articolo 826 del CC,  quindi viene dichiarata priva di fondamento.</w:t>
      </w:r>
    </w:p>
    <w:p w14:paraId="57A7363C" w14:textId="4FEAA0E3" w:rsidR="001D19DC" w:rsidRPr="00A45447" w:rsidRDefault="001D19DC" w:rsidP="001D19DC">
      <w:pPr>
        <w:jc w:val="both"/>
        <w:rPr>
          <w:rFonts w:ascii="Times New Roman" w:hAnsi="Times New Roman" w:cs="Times New Roman"/>
          <w:i/>
          <w:iCs/>
          <w:sz w:val="24"/>
          <w:szCs w:val="24"/>
        </w:rPr>
      </w:pPr>
      <w:r>
        <w:rPr>
          <w:rFonts w:ascii="Times New Roman" w:hAnsi="Times New Roman" w:cs="Times New Roman"/>
          <w:sz w:val="24"/>
          <w:szCs w:val="24"/>
        </w:rPr>
        <w:lastRenderedPageBreak/>
        <w:t>Nella sentenza si legge poi: “</w:t>
      </w:r>
      <w:r w:rsidRPr="00A45447">
        <w:rPr>
          <w:rFonts w:ascii="Times New Roman" w:hAnsi="Times New Roman" w:cs="Times New Roman"/>
          <w:i/>
          <w:iCs/>
          <w:sz w:val="24"/>
          <w:szCs w:val="24"/>
        </w:rPr>
        <w:t>La destinazione al pubblico servizio richiede che vi sia corrispondenza tra l'oggetto della destinazione e le attribuzioni dell'ente e l'inclusione nel patrimonio indisponibile comunale deve consistere in un atto con cui la P.A. concede il bene in godimento al privato per l'esercizio indiretto di un servizio pubblico assunto dall'ente (Cass. 9.6,1987, n. 5024; Cass. 1.12.1985, n. 652).</w:t>
      </w:r>
    </w:p>
    <w:p w14:paraId="1AFF4FCD" w14:textId="0CED0F43" w:rsidR="001D19DC" w:rsidRPr="00A45447" w:rsidRDefault="001D19DC" w:rsidP="001D19DC">
      <w:pPr>
        <w:jc w:val="both"/>
        <w:rPr>
          <w:rFonts w:ascii="Times New Roman" w:hAnsi="Times New Roman" w:cs="Times New Roman"/>
          <w:b/>
          <w:bCs/>
          <w:i/>
          <w:iCs/>
          <w:sz w:val="24"/>
          <w:szCs w:val="24"/>
        </w:rPr>
      </w:pPr>
      <w:r w:rsidRPr="00A45447">
        <w:rPr>
          <w:rFonts w:ascii="Times New Roman" w:hAnsi="Times New Roman" w:cs="Times New Roman"/>
          <w:b/>
          <w:bCs/>
          <w:i/>
          <w:iCs/>
          <w:sz w:val="24"/>
          <w:szCs w:val="24"/>
        </w:rPr>
        <w:t>Non rientrando nelle attribuzioni del Comune l'esercizio del servizio di telecomunicazioni, l'area a tale scopo destinata non può assumere la qualifica di patrimonio indisponibile comunale, e deve ritenersi che la cessione in godimento dell'area in virtù del contratto dedotto in giudizio inerisca ad un bene facente parte del patrimonio disponibile e si inquadri nello schema privatistico della locazione di</w:t>
      </w:r>
      <w:r w:rsidR="00A45447" w:rsidRPr="00A45447">
        <w:rPr>
          <w:rFonts w:ascii="Times New Roman" w:hAnsi="Times New Roman" w:cs="Times New Roman"/>
          <w:b/>
          <w:bCs/>
          <w:i/>
          <w:iCs/>
          <w:sz w:val="24"/>
          <w:szCs w:val="24"/>
        </w:rPr>
        <w:t xml:space="preserve"> </w:t>
      </w:r>
      <w:r w:rsidRPr="00A45447">
        <w:rPr>
          <w:rFonts w:ascii="Times New Roman" w:hAnsi="Times New Roman" w:cs="Times New Roman"/>
          <w:b/>
          <w:bCs/>
          <w:i/>
          <w:iCs/>
          <w:sz w:val="24"/>
          <w:szCs w:val="24"/>
        </w:rPr>
        <w:t>immobile urbano.</w:t>
      </w:r>
      <w:r w:rsidR="00A45447" w:rsidRPr="00A45447">
        <w:rPr>
          <w:rFonts w:ascii="Times New Roman" w:hAnsi="Times New Roman" w:cs="Times New Roman"/>
          <w:b/>
          <w:bCs/>
          <w:i/>
          <w:iCs/>
          <w:sz w:val="24"/>
          <w:szCs w:val="24"/>
        </w:rPr>
        <w:t>”</w:t>
      </w:r>
    </w:p>
    <w:p w14:paraId="6D716374" w14:textId="495BF9A8" w:rsidR="00AB7E6D" w:rsidRDefault="000E5256" w:rsidP="00AB7E6D">
      <w:pPr>
        <w:jc w:val="both"/>
        <w:rPr>
          <w:rFonts w:ascii="Times New Roman" w:hAnsi="Times New Roman" w:cs="Times New Roman"/>
          <w:sz w:val="24"/>
          <w:szCs w:val="24"/>
        </w:rPr>
      </w:pPr>
      <w:r>
        <w:rPr>
          <w:rFonts w:ascii="Times New Roman" w:hAnsi="Times New Roman" w:cs="Times New Roman"/>
          <w:sz w:val="24"/>
          <w:szCs w:val="24"/>
        </w:rPr>
        <w:t>Ecco quindi che u</w:t>
      </w:r>
      <w:r w:rsidR="002D14BF">
        <w:rPr>
          <w:rFonts w:ascii="Times New Roman" w:hAnsi="Times New Roman" w:cs="Times New Roman"/>
          <w:sz w:val="24"/>
          <w:szCs w:val="24"/>
        </w:rPr>
        <w:t xml:space="preserve">n altro importante tassello è stato inserito in questa vicenda. La sentenza della Corte di Milano è assolutamente chiara e </w:t>
      </w:r>
      <w:r w:rsidR="00AB7E6D">
        <w:rPr>
          <w:rFonts w:ascii="Times New Roman" w:hAnsi="Times New Roman" w:cs="Times New Roman"/>
          <w:sz w:val="24"/>
          <w:szCs w:val="24"/>
        </w:rPr>
        <w:t>consolida un orientamento che legittima i Comuni a continuare a chiedere i canoni di locazione già fissati nei contratti con le compagnie telefoniche</w:t>
      </w:r>
      <w:r>
        <w:rPr>
          <w:rFonts w:ascii="Times New Roman" w:hAnsi="Times New Roman" w:cs="Times New Roman"/>
          <w:sz w:val="24"/>
          <w:szCs w:val="24"/>
        </w:rPr>
        <w:t>,</w:t>
      </w:r>
      <w:r w:rsidR="00AB7E6D">
        <w:rPr>
          <w:rFonts w:ascii="Times New Roman" w:hAnsi="Times New Roman" w:cs="Times New Roman"/>
          <w:sz w:val="24"/>
          <w:szCs w:val="24"/>
        </w:rPr>
        <w:t xml:space="preserve">  che in alcuni casi</w:t>
      </w:r>
      <w:r>
        <w:rPr>
          <w:rFonts w:ascii="Times New Roman" w:hAnsi="Times New Roman" w:cs="Times New Roman"/>
          <w:sz w:val="24"/>
          <w:szCs w:val="24"/>
        </w:rPr>
        <w:t xml:space="preserve">, come sappiamo, </w:t>
      </w:r>
      <w:r w:rsidR="00AB7E6D">
        <w:rPr>
          <w:rFonts w:ascii="Times New Roman" w:hAnsi="Times New Roman" w:cs="Times New Roman"/>
          <w:sz w:val="24"/>
          <w:szCs w:val="24"/>
        </w:rPr>
        <w:t xml:space="preserve">avevano unilateralmente deciso di interrompere i pagamenti per </w:t>
      </w:r>
      <w:r w:rsidR="00A43D86">
        <w:rPr>
          <w:rFonts w:ascii="Times New Roman" w:hAnsi="Times New Roman" w:cs="Times New Roman"/>
          <w:sz w:val="24"/>
          <w:szCs w:val="24"/>
        </w:rPr>
        <w:t>affidarsi</w:t>
      </w:r>
      <w:r w:rsidR="00AB7E6D">
        <w:rPr>
          <w:rFonts w:ascii="Times New Roman" w:hAnsi="Times New Roman" w:cs="Times New Roman"/>
          <w:sz w:val="24"/>
          <w:szCs w:val="24"/>
        </w:rPr>
        <w:t xml:space="preserve"> </w:t>
      </w:r>
      <w:r w:rsidR="00A43D86">
        <w:rPr>
          <w:rFonts w:ascii="Times New Roman" w:hAnsi="Times New Roman" w:cs="Times New Roman"/>
          <w:sz w:val="24"/>
          <w:szCs w:val="24"/>
        </w:rPr>
        <w:t xml:space="preserve">totalmente </w:t>
      </w:r>
      <w:r w:rsidR="00AB7E6D">
        <w:rPr>
          <w:rFonts w:ascii="Times New Roman" w:hAnsi="Times New Roman" w:cs="Times New Roman"/>
          <w:sz w:val="24"/>
          <w:szCs w:val="24"/>
        </w:rPr>
        <w:t xml:space="preserve">al disposto contenuto nel comma 831-bis della Legge 160/2019. </w:t>
      </w:r>
    </w:p>
    <w:p w14:paraId="68858B4E" w14:textId="663E110A" w:rsidR="001B6553" w:rsidRDefault="001B6553" w:rsidP="00AB7E6D">
      <w:pPr>
        <w:jc w:val="both"/>
        <w:rPr>
          <w:rFonts w:ascii="Times New Roman" w:hAnsi="Times New Roman" w:cs="Times New Roman"/>
          <w:sz w:val="24"/>
          <w:szCs w:val="24"/>
        </w:rPr>
      </w:pPr>
    </w:p>
    <w:p w14:paraId="4A28B400" w14:textId="5F9D1D23" w:rsidR="001B6553" w:rsidRDefault="001B6553" w:rsidP="001B6553">
      <w:pPr>
        <w:jc w:val="both"/>
        <w:rPr>
          <w:rFonts w:ascii="Times New Roman" w:hAnsi="Times New Roman" w:cs="Times New Roman"/>
          <w:sz w:val="24"/>
          <w:szCs w:val="24"/>
        </w:rPr>
      </w:pPr>
      <w:r>
        <w:rPr>
          <w:rFonts w:ascii="Times New Roman" w:hAnsi="Times New Roman" w:cs="Times New Roman"/>
          <w:sz w:val="24"/>
          <w:szCs w:val="24"/>
        </w:rPr>
        <w:t xml:space="preserve">Allegato: </w:t>
      </w:r>
      <w:r w:rsidRPr="007E510C">
        <w:rPr>
          <w:rFonts w:ascii="Times New Roman" w:hAnsi="Times New Roman" w:cs="Times New Roman"/>
          <w:sz w:val="24"/>
          <w:szCs w:val="24"/>
        </w:rPr>
        <w:t>Corte d'Appello Milano</w:t>
      </w:r>
      <w:r>
        <w:rPr>
          <w:rFonts w:ascii="Times New Roman" w:hAnsi="Times New Roman" w:cs="Times New Roman"/>
          <w:sz w:val="24"/>
          <w:szCs w:val="24"/>
        </w:rPr>
        <w:t xml:space="preserve">, </w:t>
      </w:r>
      <w:r>
        <w:rPr>
          <w:rFonts w:ascii="Times New Roman" w:hAnsi="Times New Roman" w:cs="Times New Roman"/>
          <w:sz w:val="24"/>
          <w:szCs w:val="24"/>
        </w:rPr>
        <w:t xml:space="preserve">Sez. III - </w:t>
      </w:r>
      <w:r>
        <w:rPr>
          <w:rFonts w:ascii="Times New Roman" w:hAnsi="Times New Roman" w:cs="Times New Roman"/>
          <w:sz w:val="24"/>
          <w:szCs w:val="24"/>
        </w:rPr>
        <w:t xml:space="preserve"> sentenza </w:t>
      </w:r>
      <w:r w:rsidRPr="007E510C">
        <w:rPr>
          <w:rFonts w:ascii="Times New Roman" w:hAnsi="Times New Roman" w:cs="Times New Roman"/>
          <w:sz w:val="24"/>
          <w:szCs w:val="24"/>
        </w:rPr>
        <w:t>n. 3638</w:t>
      </w:r>
      <w:r>
        <w:rPr>
          <w:rFonts w:ascii="Times New Roman" w:hAnsi="Times New Roman" w:cs="Times New Roman"/>
          <w:sz w:val="24"/>
          <w:szCs w:val="24"/>
        </w:rPr>
        <w:t xml:space="preserve"> </w:t>
      </w:r>
      <w:r w:rsidRPr="007E510C">
        <w:rPr>
          <w:rFonts w:ascii="Times New Roman" w:hAnsi="Times New Roman" w:cs="Times New Roman"/>
          <w:sz w:val="24"/>
          <w:szCs w:val="24"/>
        </w:rPr>
        <w:t>del 5/12/2022</w:t>
      </w:r>
      <w:r>
        <w:rPr>
          <w:rFonts w:ascii="Times New Roman" w:hAnsi="Times New Roman" w:cs="Times New Roman"/>
          <w:sz w:val="24"/>
          <w:szCs w:val="24"/>
        </w:rPr>
        <w:t>.</w:t>
      </w:r>
    </w:p>
    <w:p w14:paraId="7620A770" w14:textId="168E396C" w:rsidR="001B6553" w:rsidRPr="00360770" w:rsidRDefault="001B6553" w:rsidP="00AB7E6D">
      <w:pPr>
        <w:jc w:val="both"/>
        <w:rPr>
          <w:rFonts w:ascii="Times New Roman" w:eastAsia="Times New Roman" w:hAnsi="Times New Roman" w:cs="Times New Roman"/>
          <w:sz w:val="24"/>
          <w:szCs w:val="24"/>
          <w:lang w:eastAsia="it-IT"/>
        </w:rPr>
      </w:pPr>
    </w:p>
    <w:p w14:paraId="6DC3BFF9" w14:textId="4907DECE" w:rsidR="00725D45" w:rsidRPr="00360770" w:rsidRDefault="00725D45" w:rsidP="00835802">
      <w:pPr>
        <w:jc w:val="both"/>
        <w:rPr>
          <w:rFonts w:ascii="Times New Roman" w:eastAsia="Times New Roman" w:hAnsi="Times New Roman" w:cs="Times New Roman"/>
          <w:sz w:val="24"/>
          <w:szCs w:val="24"/>
          <w:lang w:eastAsia="it-IT"/>
        </w:rPr>
      </w:pPr>
    </w:p>
    <w:sectPr w:rsidR="00725D45" w:rsidRPr="003607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C6073"/>
    <w:multiLevelType w:val="multilevel"/>
    <w:tmpl w:val="D8A2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42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03"/>
    <w:rsid w:val="00007552"/>
    <w:rsid w:val="00007D11"/>
    <w:rsid w:val="0006771D"/>
    <w:rsid w:val="000A663D"/>
    <w:rsid w:val="000B0573"/>
    <w:rsid w:val="000B7DCC"/>
    <w:rsid w:val="000E5256"/>
    <w:rsid w:val="00110DEF"/>
    <w:rsid w:val="00136125"/>
    <w:rsid w:val="0015562A"/>
    <w:rsid w:val="00171E7C"/>
    <w:rsid w:val="001B6553"/>
    <w:rsid w:val="001D19DC"/>
    <w:rsid w:val="001D66C2"/>
    <w:rsid w:val="001F11D9"/>
    <w:rsid w:val="00205193"/>
    <w:rsid w:val="00287C52"/>
    <w:rsid w:val="002C3A99"/>
    <w:rsid w:val="002C65F8"/>
    <w:rsid w:val="002D14BF"/>
    <w:rsid w:val="00306BC3"/>
    <w:rsid w:val="00325C10"/>
    <w:rsid w:val="00360770"/>
    <w:rsid w:val="003A5F8A"/>
    <w:rsid w:val="003C173E"/>
    <w:rsid w:val="00445803"/>
    <w:rsid w:val="00492098"/>
    <w:rsid w:val="004B4549"/>
    <w:rsid w:val="004D047E"/>
    <w:rsid w:val="004D1DD3"/>
    <w:rsid w:val="004D4E31"/>
    <w:rsid w:val="005849F0"/>
    <w:rsid w:val="005F0076"/>
    <w:rsid w:val="005F73EF"/>
    <w:rsid w:val="00633B76"/>
    <w:rsid w:val="00635D54"/>
    <w:rsid w:val="00650624"/>
    <w:rsid w:val="006C2BEF"/>
    <w:rsid w:val="006F7825"/>
    <w:rsid w:val="0071196C"/>
    <w:rsid w:val="00723382"/>
    <w:rsid w:val="00725D45"/>
    <w:rsid w:val="0074321D"/>
    <w:rsid w:val="00780CD3"/>
    <w:rsid w:val="007979E5"/>
    <w:rsid w:val="007E510C"/>
    <w:rsid w:val="00815CD9"/>
    <w:rsid w:val="008208B7"/>
    <w:rsid w:val="00835802"/>
    <w:rsid w:val="00891BC7"/>
    <w:rsid w:val="008B32BE"/>
    <w:rsid w:val="008B4D1C"/>
    <w:rsid w:val="008D128F"/>
    <w:rsid w:val="008E6474"/>
    <w:rsid w:val="008F40FC"/>
    <w:rsid w:val="009232C5"/>
    <w:rsid w:val="00933A6C"/>
    <w:rsid w:val="00970966"/>
    <w:rsid w:val="009D2725"/>
    <w:rsid w:val="009F0AFD"/>
    <w:rsid w:val="00A0748C"/>
    <w:rsid w:val="00A43D86"/>
    <w:rsid w:val="00A45447"/>
    <w:rsid w:val="00A57D90"/>
    <w:rsid w:val="00A861E8"/>
    <w:rsid w:val="00AB55C9"/>
    <w:rsid w:val="00AB7E6D"/>
    <w:rsid w:val="00AC1512"/>
    <w:rsid w:val="00B24E76"/>
    <w:rsid w:val="00B40CBD"/>
    <w:rsid w:val="00B641EE"/>
    <w:rsid w:val="00BF28D8"/>
    <w:rsid w:val="00CA6CB1"/>
    <w:rsid w:val="00D41C19"/>
    <w:rsid w:val="00E03F31"/>
    <w:rsid w:val="00E41137"/>
    <w:rsid w:val="00E61220"/>
    <w:rsid w:val="00E64349"/>
    <w:rsid w:val="00E73B56"/>
    <w:rsid w:val="00EC720A"/>
    <w:rsid w:val="00F5419D"/>
    <w:rsid w:val="00F61E98"/>
    <w:rsid w:val="00F8610A"/>
    <w:rsid w:val="00F90C56"/>
    <w:rsid w:val="00FC5373"/>
    <w:rsid w:val="00FC61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88C7"/>
  <w15:chartTrackingRefBased/>
  <w15:docId w15:val="{3F0DF437-53D0-47E6-99A9-F2F17DCF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5562A"/>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15562A"/>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679</TotalTime>
  <Pages>2</Pages>
  <Words>734</Words>
  <Characters>4190</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45</cp:revision>
  <dcterms:created xsi:type="dcterms:W3CDTF">2022-09-15T09:55:00Z</dcterms:created>
  <dcterms:modified xsi:type="dcterms:W3CDTF">2023-03-04T18:15:00Z</dcterms:modified>
</cp:coreProperties>
</file>