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67BAF" w14:textId="5D5A18C9" w:rsidR="006672EA" w:rsidRDefault="00F00EDB">
      <w:r>
        <w:t xml:space="preserve">Titolo: nuovi </w:t>
      </w:r>
      <w:r w:rsidR="006A1513">
        <w:t xml:space="preserve">importanti </w:t>
      </w:r>
      <w:r>
        <w:t>chiarimenti sul tema dell’invarianza di gettito</w:t>
      </w:r>
      <w:r w:rsidR="006A1513">
        <w:t xml:space="preserve"> del </w:t>
      </w:r>
      <w:r>
        <w:t>CUP</w:t>
      </w:r>
    </w:p>
    <w:p w14:paraId="27D5359C" w14:textId="0D08E68F" w:rsidR="00F00EDB" w:rsidRDefault="00F00EDB">
      <w:r>
        <w:t>Di Alessandro Merciari</w:t>
      </w:r>
    </w:p>
    <w:p w14:paraId="17DBD00D" w14:textId="4921BD56" w:rsidR="00F00EDB" w:rsidRDefault="00F00EDB" w:rsidP="000E0CD7">
      <w:pPr>
        <w:jc w:val="both"/>
      </w:pPr>
      <w:r>
        <w:t>Con il parere della Corte dei Conti sezione regionale della Liguria,</w:t>
      </w:r>
      <w:r w:rsidR="000A3927">
        <w:t xml:space="preserve"> d</w:t>
      </w:r>
      <w:r w:rsidR="000A3927" w:rsidRPr="000A3927">
        <w:t>eliberazione</w:t>
      </w:r>
      <w:r w:rsidR="000A3927">
        <w:t xml:space="preserve"> numero </w:t>
      </w:r>
      <w:r w:rsidR="000A3927" w:rsidRPr="000A3927">
        <w:t xml:space="preserve"> 162/2024/PAR</w:t>
      </w:r>
      <w:r w:rsidR="000A3927">
        <w:t xml:space="preserve"> del 30 maggio 2024,</w:t>
      </w:r>
      <w:r>
        <w:t xml:space="preserve"> arrivano nuovi </w:t>
      </w:r>
      <w:r w:rsidR="000A3927">
        <w:t xml:space="preserve">importanti </w:t>
      </w:r>
      <w:r>
        <w:t xml:space="preserve">chiarimenti sulla portata della </w:t>
      </w:r>
      <w:r w:rsidR="000E0CD7">
        <w:t>disposizione con</w:t>
      </w:r>
      <w:r>
        <w:t xml:space="preserve"> la quale si </w:t>
      </w:r>
      <w:r w:rsidR="006A1513">
        <w:t>è chiesto</w:t>
      </w:r>
      <w:r>
        <w:t xml:space="preserve"> ai soggetti attivi del Canone Unico, di impostare la propria disciplina </w:t>
      </w:r>
      <w:r w:rsidR="000E0CD7">
        <w:t>regolamentare e</w:t>
      </w:r>
      <w:r>
        <w:t xml:space="preserve"> il proprio impianto tariffario, garantendo l’invarianza di gettito rispetto a </w:t>
      </w:r>
      <w:r w:rsidR="006A1513">
        <w:t xml:space="preserve">quanto già </w:t>
      </w:r>
      <w:r w:rsidR="004B061A">
        <w:t>veniva incassato</w:t>
      </w:r>
      <w:r w:rsidR="006A1513">
        <w:t xml:space="preserve"> con </w:t>
      </w:r>
      <w:r>
        <w:t>i precedenti prelievi sostituiti dalla nuova entrata.</w:t>
      </w:r>
    </w:p>
    <w:p w14:paraId="0B064563" w14:textId="7D6D6A78" w:rsidR="00F00EDB" w:rsidRDefault="000E0CD7" w:rsidP="000E0CD7">
      <w:pPr>
        <w:jc w:val="both"/>
        <w:rPr>
          <w:sz w:val="23"/>
          <w:szCs w:val="23"/>
        </w:rPr>
      </w:pPr>
      <w:r>
        <w:rPr>
          <w:sz w:val="23"/>
          <w:szCs w:val="23"/>
        </w:rPr>
        <w:t>È Il comma 817, in aderenza all’autonomia finanziaria e tributaria riconosciuta dalla Costituzione agli enti territoriali (art. 119, commi primo e secondo), a disporre che il canone sia disciplinato dagli enti “</w:t>
      </w:r>
      <w:r>
        <w:rPr>
          <w:i/>
          <w:iCs/>
          <w:sz w:val="23"/>
          <w:szCs w:val="23"/>
        </w:rPr>
        <w:t>in modo da assicurare un gettito pari a quello conseguito dai canoni e dai tributi che sono sostituiti dal canone, fatta salva, in ogni caso, la possibilità di variare il gettito attraverso la modifica delle tariffe</w:t>
      </w:r>
      <w:r>
        <w:rPr>
          <w:sz w:val="23"/>
          <w:szCs w:val="23"/>
        </w:rPr>
        <w:t>”. La norma di legge statale, pertanto, nel delimitare l’esercizio dell’autonomia regolamentare degli enti locali in materia, ha previsto un vincolo finanziario complessivo, funzionale, da un lato, ad evitare che la nuova disciplina possa impattare negativamente sugli equilibri di bilancio, ma, dall’altro, a consentire agli enti adeguata autonomia nell’individuazione di tariffe, riduzioni ed esenzioni.</w:t>
      </w:r>
    </w:p>
    <w:p w14:paraId="65493EC1" w14:textId="20161851" w:rsidR="000E0CD7" w:rsidRDefault="000E0CD7" w:rsidP="000E0CD7">
      <w:pPr>
        <w:jc w:val="both"/>
        <w:rPr>
          <w:sz w:val="23"/>
          <w:szCs w:val="23"/>
        </w:rPr>
      </w:pPr>
      <w:r>
        <w:rPr>
          <w:sz w:val="23"/>
          <w:szCs w:val="23"/>
        </w:rPr>
        <w:t>Il comma 821, completando, e facendo salvo, quanto disposto dal precedente comma 817 in punto di invarianza di gettito, ha rimesso a</w:t>
      </w:r>
      <w:r w:rsidR="000A3927">
        <w:rPr>
          <w:sz w:val="23"/>
          <w:szCs w:val="23"/>
        </w:rPr>
        <w:t xml:space="preserve">l </w:t>
      </w:r>
      <w:r>
        <w:rPr>
          <w:sz w:val="23"/>
          <w:szCs w:val="23"/>
        </w:rPr>
        <w:t xml:space="preserve">regolamento la disciplina specifica del canone patrimoniale, prevedendo, espressamente, fra gli altri (lett. </w:t>
      </w:r>
      <w:r>
        <w:rPr>
          <w:i/>
          <w:iCs/>
          <w:sz w:val="23"/>
          <w:szCs w:val="23"/>
        </w:rPr>
        <w:t>f)</w:t>
      </w:r>
      <w:r>
        <w:rPr>
          <w:sz w:val="23"/>
          <w:szCs w:val="23"/>
        </w:rPr>
        <w:t xml:space="preserve">, che il Comune possa individuare </w:t>
      </w:r>
      <w:r>
        <w:rPr>
          <w:i/>
          <w:iCs/>
          <w:sz w:val="23"/>
          <w:szCs w:val="23"/>
        </w:rPr>
        <w:t xml:space="preserve">“ulteriori esenzioni o riduzioni” </w:t>
      </w:r>
      <w:r>
        <w:rPr>
          <w:sz w:val="23"/>
          <w:szCs w:val="23"/>
        </w:rPr>
        <w:t>rispetto a quelle disciplinate direttamente dalla legge.</w:t>
      </w:r>
    </w:p>
    <w:p w14:paraId="4E652BCA" w14:textId="0D28138F" w:rsidR="000E0CD7" w:rsidRDefault="00AB0353" w:rsidP="000E0CD7">
      <w:pPr>
        <w:jc w:val="both"/>
        <w:rPr>
          <w:i/>
          <w:iCs/>
          <w:sz w:val="23"/>
          <w:szCs w:val="23"/>
        </w:rPr>
      </w:pPr>
      <w:r>
        <w:rPr>
          <w:sz w:val="23"/>
          <w:szCs w:val="23"/>
        </w:rPr>
        <w:t>La Corte</w:t>
      </w:r>
      <w:r w:rsidR="000A3927">
        <w:rPr>
          <w:sz w:val="23"/>
          <w:szCs w:val="23"/>
        </w:rPr>
        <w:t xml:space="preserve"> nella sua deliberazione</w:t>
      </w:r>
      <w:r>
        <w:rPr>
          <w:sz w:val="23"/>
          <w:szCs w:val="23"/>
        </w:rPr>
        <w:t xml:space="preserve"> in particolare scrive: </w:t>
      </w:r>
      <w:r w:rsidRPr="00AB0353">
        <w:rPr>
          <w:i/>
          <w:iCs/>
          <w:sz w:val="23"/>
          <w:szCs w:val="23"/>
        </w:rPr>
        <w:t>“il comma 821, lett. f), consente ai comuni di individuare, nell’esercizio della propria potestà regolamentare, ulteriori ipotesi di “esenzione” o di “riduzione”, purché queste ultime consentano di garantire l’invarianza di gettito rispetto “a quello conseguito dai canoni e dai tributi che sono sostituiti dal canone” (oltre che, in generale, profilo che non investe, naturalmente, la sola regolamentazione del canone in parola, il mantenimento degli equilibri complessivi di bilancio).”</w:t>
      </w:r>
    </w:p>
    <w:p w14:paraId="0A34CBFB" w14:textId="3F5A0C15" w:rsidR="00AB0353" w:rsidRDefault="0086408B" w:rsidP="000E0CD7">
      <w:pPr>
        <w:jc w:val="both"/>
        <w:rPr>
          <w:i/>
          <w:iCs/>
          <w:sz w:val="23"/>
          <w:szCs w:val="23"/>
        </w:rPr>
      </w:pPr>
      <w:r>
        <w:rPr>
          <w:sz w:val="23"/>
          <w:szCs w:val="23"/>
        </w:rPr>
        <w:t>Continua dicendo: “</w:t>
      </w:r>
      <w:r w:rsidRPr="0086408B">
        <w:rPr>
          <w:i/>
          <w:iCs/>
          <w:sz w:val="23"/>
          <w:szCs w:val="23"/>
        </w:rPr>
        <w:t>Naturalmente, la concreta regolamentazione da parte del singolo comune, oltre che aderente alle prescrizioni legislative citate, non può che essere ispirata dall’esigenza di perseguire l’interesse pubblico della comunità amministrata. Di conseguenza, pur non essendo necessaria una formale motivazione (trattandosi di atto regolamentare, cfr. art. 3, comma 2, legge n. 241 del 1990), vanno esplicitate, nella delibera approvativa, le ragioni che inducono il comune a riconoscere specifiche riduzioni o esenzioni per specifiche categorie di soggetti, operatori economici o di attività (quali, per esempio, i benefici a vantaggio della collettività o del medesimo comune, in termini di minore spesa per l’erogazione di servizi pubblici).”</w:t>
      </w:r>
    </w:p>
    <w:p w14:paraId="7B5807C6" w14:textId="5104FDC9" w:rsidR="0086408B" w:rsidRPr="0086408B" w:rsidRDefault="0086408B" w:rsidP="0086408B">
      <w:pPr>
        <w:jc w:val="both"/>
        <w:rPr>
          <w:sz w:val="23"/>
          <w:szCs w:val="23"/>
        </w:rPr>
      </w:pPr>
      <w:r>
        <w:rPr>
          <w:sz w:val="23"/>
          <w:szCs w:val="23"/>
        </w:rPr>
        <w:t xml:space="preserve">Con il </w:t>
      </w:r>
      <w:r w:rsidRPr="0086408B">
        <w:rPr>
          <w:sz w:val="23"/>
          <w:szCs w:val="23"/>
        </w:rPr>
        <w:t>P.Q.M.</w:t>
      </w:r>
      <w:r>
        <w:rPr>
          <w:sz w:val="23"/>
          <w:szCs w:val="23"/>
        </w:rPr>
        <w:t xml:space="preserve"> </w:t>
      </w:r>
      <w:r w:rsidRPr="0086408B">
        <w:rPr>
          <w:sz w:val="23"/>
          <w:szCs w:val="23"/>
        </w:rPr>
        <w:t xml:space="preserve">in riscontro all’istanza di parere presentata dal Comune di Genova, la Sezione regionale di controllo per la Liguria ritiene che </w:t>
      </w:r>
      <w:r w:rsidRPr="0086408B">
        <w:rPr>
          <w:i/>
          <w:iCs/>
          <w:sz w:val="23"/>
          <w:szCs w:val="23"/>
        </w:rPr>
        <w:t>“i comuni, nell’esercizio dell’autonomia regolamentare attribuita dalla legge statale, e nei limiti da quest’ultima stabiliti (tesi, in particolare, a garantire invarianza di gettito ed equilibri di bilancio), possono prevedere, in sede di disciplina del canone unico patrimoniale di cui all’art. 1, commi 816 e seguenti, della legge n. 160 del 2019, riduzioni o esenzioni, per specifici titolari di autorizzazioni o concessioni all’utilizzo del suolo pubblico, fermi restando l’interesse pubblico e gli altri principi generali che devono conformare le scelte discrezionali”.</w:t>
      </w:r>
    </w:p>
    <w:p w14:paraId="64056E01" w14:textId="54DD924F" w:rsidR="0086408B" w:rsidRDefault="0086408B" w:rsidP="000E0CD7">
      <w:pPr>
        <w:jc w:val="both"/>
      </w:pPr>
      <w:r>
        <w:t>È una precisazione molto importante perché conferma la potestà e l’autonomia riconosciuta agli enti locali in materia di proprie entrate, in ordine alla possibilità di fissare agevolazioni od esenzioni da riconoscere a specifiche fattispecie che rientrano nel presupposto applicativo, vincolando</w:t>
      </w:r>
      <w:r w:rsidR="00E91DE8">
        <w:t xml:space="preserve"> comunque </w:t>
      </w:r>
      <w:r>
        <w:t xml:space="preserve">l’ente al rispetto dei principi generali </w:t>
      </w:r>
      <w:r w:rsidR="002B7B0E">
        <w:t>di salvaguardia degli equilibri finanziari e dei principi di equità</w:t>
      </w:r>
      <w:r w:rsidR="00E91DE8">
        <w:t xml:space="preserve"> e proporzionalità.</w:t>
      </w:r>
    </w:p>
    <w:p w14:paraId="2BB0052E" w14:textId="79B2738B" w:rsidR="00E91DE8" w:rsidRDefault="0010746F" w:rsidP="00E91DE8">
      <w:pPr>
        <w:jc w:val="both"/>
      </w:pPr>
      <w:r>
        <w:lastRenderedPageBreak/>
        <w:t>A questo proposito è</w:t>
      </w:r>
      <w:r w:rsidR="000A3927">
        <w:t xml:space="preserve"> bene precisare </w:t>
      </w:r>
      <w:r w:rsidR="00E91DE8">
        <w:t xml:space="preserve"> che la definizione delle tariffe deve tenere conto dei principi di beneficio economico</w:t>
      </w:r>
      <w:r>
        <w:t xml:space="preserve">, </w:t>
      </w:r>
      <w:r w:rsidR="00E91DE8">
        <w:t>a favore di chi occupa il suolo pubblico o espone pubblicità</w:t>
      </w:r>
      <w:r>
        <w:t>,</w:t>
      </w:r>
      <w:r w:rsidR="00E91DE8">
        <w:t xml:space="preserve"> e del sacrificio che si impone alla collettività per la presenza di queste occupazioni o esposizioni pubblicitarie</w:t>
      </w:r>
      <w:r>
        <w:t xml:space="preserve">. Inoltre </w:t>
      </w:r>
      <w:r w:rsidR="00E91DE8">
        <w:t xml:space="preserve">nell’affrontare la definizione dell’impianto tariffario sarà sempre necessario attivare una serie di considerazioni basate su imprescindibili valutazioni. Il potere discrezionale e l’autonomia impositiva degli enti locali devono </w:t>
      </w:r>
      <w:r>
        <w:t xml:space="preserve">infatti </w:t>
      </w:r>
      <w:r w:rsidR="00E91DE8">
        <w:t xml:space="preserve">essere subordinati al rispetto dei principi di ragionevolezza e proporzionalità, </w:t>
      </w:r>
      <w:r>
        <w:t>e</w:t>
      </w:r>
      <w:r w:rsidR="00E91DE8">
        <w:t xml:space="preserve"> risultare satisfattive dell’interesse pubblico e non ingiustificatamente gravose per i contribuenti.</w:t>
      </w:r>
    </w:p>
    <w:p w14:paraId="1618E62B" w14:textId="24A839D6" w:rsidR="00623CCB" w:rsidRDefault="00BA4D64" w:rsidP="00E91DE8">
      <w:pPr>
        <w:jc w:val="both"/>
      </w:pPr>
      <w:r>
        <w:t xml:space="preserve">Il parere della Corte ci porta anche </w:t>
      </w:r>
      <w:r w:rsidR="0010746F">
        <w:t>ad</w:t>
      </w:r>
      <w:r>
        <w:t xml:space="preserve"> un’ulteriore riflessione, oggi particolarmente sentita </w:t>
      </w:r>
      <w:r w:rsidR="0010746F">
        <w:t>al quarto anno</w:t>
      </w:r>
      <w:r>
        <w:t xml:space="preserve"> di applicazione dell’entrata</w:t>
      </w:r>
      <w:r w:rsidR="0010746F">
        <w:t>. L</w:t>
      </w:r>
      <w:r>
        <w:t xml:space="preserve">’invarianza di gettito era da considerarsi </w:t>
      </w:r>
      <w:r w:rsidR="0010746F">
        <w:t>quale</w:t>
      </w:r>
      <w:r>
        <w:t xml:space="preserve"> base</w:t>
      </w:r>
      <w:r w:rsidR="00623CCB">
        <w:t xml:space="preserve"> vincolata </w:t>
      </w:r>
      <w:r>
        <w:t>su cui impostare la</w:t>
      </w:r>
      <w:r w:rsidR="00623CCB">
        <w:t xml:space="preserve"> propria</w:t>
      </w:r>
      <w:r>
        <w:t xml:space="preserve"> disciplina</w:t>
      </w:r>
      <w:r w:rsidR="00623CCB">
        <w:t xml:space="preserve"> regolamentare</w:t>
      </w:r>
      <w:r>
        <w:t xml:space="preserve"> e</w:t>
      </w:r>
      <w:r w:rsidR="0010746F">
        <w:t xml:space="preserve"> il proprio </w:t>
      </w:r>
      <w:r>
        <w:t xml:space="preserve">impianto tariffario </w:t>
      </w:r>
      <w:r w:rsidR="00623CCB">
        <w:t xml:space="preserve">del solo anno </w:t>
      </w:r>
      <w:r>
        <w:t>2021</w:t>
      </w:r>
      <w:r w:rsidR="00623CCB">
        <w:t xml:space="preserve">, oppure deve essere mantenuta </w:t>
      </w:r>
      <w:r w:rsidR="0010746F">
        <w:t xml:space="preserve">in modo vincolante </w:t>
      </w:r>
      <w:r w:rsidR="00623CCB">
        <w:t>anche per le annualità successive?</w:t>
      </w:r>
    </w:p>
    <w:p w14:paraId="192F9289" w14:textId="389E3DE5" w:rsidR="00BB772F" w:rsidRDefault="00623CCB" w:rsidP="00E91DE8">
      <w:pPr>
        <w:jc w:val="both"/>
      </w:pPr>
      <w:r>
        <w:t>La giurisprudenza formatasi in questi anni e lo stesso parere della Corte dei Conti Liguria portano a dire che il vincolo dell’invarianza di gettito era da considerarsi un riferimento iniziale, che poi, con il passare del tempo e con il variare delle situazioni e degli equilibri di bilancio, poteva chiaramente essere derogat</w:t>
      </w:r>
      <w:r w:rsidR="00880296">
        <w:t>o</w:t>
      </w:r>
      <w:r>
        <w:t xml:space="preserve"> dagli enti locali, sempre nel rispetto dei principi generali pocanzi richiamati.</w:t>
      </w:r>
    </w:p>
    <w:p w14:paraId="0AAD728F" w14:textId="7BE8F1D4" w:rsidR="00880296" w:rsidRDefault="00880296" w:rsidP="00880296">
      <w:pPr>
        <w:jc w:val="both"/>
      </w:pPr>
      <w:r>
        <w:t>Per questo oggi sarebbe legittimo prevedere degli adeguamenti tariffari, così come di diverso segno, prevedere delle riduzioni, agevolazioni ed esenzioni.</w:t>
      </w:r>
    </w:p>
    <w:p w14:paraId="3B10964A" w14:textId="5F63527E" w:rsidR="00880296" w:rsidRDefault="00880296" w:rsidP="00880296">
      <w:pPr>
        <w:jc w:val="both"/>
      </w:pPr>
      <w:r>
        <w:t xml:space="preserve">È del tutto legittimo attendersi anche delle modifiche al gettito dell'entrata derivante da un allargamento della base imponibile. Molte amministrazioni si sono attrezzate per svolgere un'attività di rilevazione sul territorio che ha </w:t>
      </w:r>
      <w:r w:rsidR="0010746F">
        <w:t>permesso di far confluire</w:t>
      </w:r>
      <w:r>
        <w:t xml:space="preserve"> diverse esposizioni pubblicitarie e occupazioni di suolo pubblico, fino a quel momento non dichiarate, ovvero non autorizzate o prive di concessione, all'interno della banca dati del Canone Unico Patrimoniale e garantire così una maggior entrata di Bilancio.</w:t>
      </w:r>
    </w:p>
    <w:p w14:paraId="06627385" w14:textId="1C9E262A" w:rsidR="00880296" w:rsidRDefault="00880296" w:rsidP="00880296">
      <w:pPr>
        <w:jc w:val="both"/>
      </w:pPr>
      <w:r>
        <w:t>La dinamicità dell'entrata porta, senza dubbio di smentita, ad una continua variazione del gettito, una base imponibile che si modifica velocemente e che spesso segue l'andamento economico del Paese. Basti pensare ad esempio all'incremento di gettito derivante dall'attività edile. Occupazioni di suolo pubblico necessarie per i cantieri del 110, che hanno fatto schizzare gli incassi per le occupazioni di suolo pubblico temporanee.</w:t>
      </w:r>
    </w:p>
    <w:p w14:paraId="4560CE03" w14:textId="2EC7014A" w:rsidR="00880296" w:rsidRDefault="00880296" w:rsidP="00880296">
      <w:pPr>
        <w:jc w:val="both"/>
      </w:pPr>
      <w:r>
        <w:t xml:space="preserve">Che senso avrebbe allora nel 2024 rincorrere ancora la </w:t>
      </w:r>
      <w:r w:rsidR="00635544">
        <w:t xml:space="preserve">stessa </w:t>
      </w:r>
      <w:r>
        <w:t>parità di gettito</w:t>
      </w:r>
      <w:r w:rsidR="00635544">
        <w:t xml:space="preserve"> richiesta in sede di prima applicazione</w:t>
      </w:r>
      <w:r>
        <w:t>? La portata della disposizione contenuta nel comma 817 oggi deve essere legata al criterio di trasformazione dai precedenti prelievi e letta nell'ottica di mantenere quel solco tracciato nel 2021, aggiornato con tutte le deviazioni possibili dettate dagli eventi e dalla disciplina regolamentare.</w:t>
      </w:r>
      <w:r w:rsidR="00635544">
        <w:t xml:space="preserve"> Dopodiché le scelte degli enti territoriali sono e saranno condizionate dalle peculiarità del proprio territorio, dell’andamento economico</w:t>
      </w:r>
      <w:r w:rsidR="0036058F">
        <w:t>, dall’aumento del costo della vita</w:t>
      </w:r>
      <w:r w:rsidR="00635544">
        <w:t xml:space="preserve"> e dalle politiche adottate dalla Pubblica Amministrazione che perseguirà gli interessi della propria collettività e la tutela del proprio territorio</w:t>
      </w:r>
      <w:r w:rsidR="0036058F">
        <w:t>, anche con manovre tariffarie che incideranno sul gettito del CUP per determinate fattispecie.</w:t>
      </w:r>
    </w:p>
    <w:p w14:paraId="516FFB6E" w14:textId="77777777" w:rsidR="00880296" w:rsidRDefault="00880296" w:rsidP="00880296">
      <w:pPr>
        <w:jc w:val="both"/>
      </w:pPr>
    </w:p>
    <w:p w14:paraId="2FF0C2D2" w14:textId="77777777" w:rsidR="00623CCB" w:rsidRPr="0086408B" w:rsidRDefault="00623CCB" w:rsidP="00E91DE8">
      <w:pPr>
        <w:jc w:val="both"/>
      </w:pPr>
    </w:p>
    <w:sectPr w:rsidR="00623CCB" w:rsidRPr="008640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99"/>
    <w:rsid w:val="000A3927"/>
    <w:rsid w:val="000E0CD7"/>
    <w:rsid w:val="000E48C9"/>
    <w:rsid w:val="0010746F"/>
    <w:rsid w:val="00127B99"/>
    <w:rsid w:val="002B7B0E"/>
    <w:rsid w:val="0036058F"/>
    <w:rsid w:val="004B061A"/>
    <w:rsid w:val="004F7861"/>
    <w:rsid w:val="00623CCB"/>
    <w:rsid w:val="00635544"/>
    <w:rsid w:val="006672EA"/>
    <w:rsid w:val="006A1513"/>
    <w:rsid w:val="008206BB"/>
    <w:rsid w:val="0086408B"/>
    <w:rsid w:val="00880296"/>
    <w:rsid w:val="00AB0353"/>
    <w:rsid w:val="00BA4D64"/>
    <w:rsid w:val="00BB772F"/>
    <w:rsid w:val="00E20EEF"/>
    <w:rsid w:val="00E91DE8"/>
    <w:rsid w:val="00F00E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8D2A"/>
  <w15:chartTrackingRefBased/>
  <w15:docId w15:val="{DA530DD4-8917-437C-A943-F103F53A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56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1151</Words>
  <Characters>6561</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12</cp:revision>
  <dcterms:created xsi:type="dcterms:W3CDTF">2024-06-26T16:03:00Z</dcterms:created>
  <dcterms:modified xsi:type="dcterms:W3CDTF">2024-06-29T16:55:00Z</dcterms:modified>
</cp:coreProperties>
</file>