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345E0" w14:textId="0C404A72" w:rsidR="00060149" w:rsidRDefault="00285772">
      <w:r>
        <w:t>Titolo: P</w:t>
      </w:r>
      <w:r w:rsidRPr="00285772">
        <w:t>erché le società concessionarie per le autostrade impugnano il CUP davanti al TAR</w:t>
      </w:r>
      <w:r>
        <w:t>?</w:t>
      </w:r>
    </w:p>
    <w:p w14:paraId="2D81AAD8" w14:textId="5B4560B9" w:rsidR="00285772" w:rsidRDefault="00285772">
      <w:r>
        <w:t>Di Alessandro Merciari</w:t>
      </w:r>
    </w:p>
    <w:p w14:paraId="7FC2A75B" w14:textId="77777777" w:rsidR="00285772" w:rsidRDefault="00285772"/>
    <w:p w14:paraId="05A33743" w14:textId="66C9D4BD" w:rsidR="00285772" w:rsidRDefault="00285772" w:rsidP="00285772">
      <w:pPr>
        <w:jc w:val="both"/>
      </w:pPr>
      <w:r>
        <w:t xml:space="preserve">L’interrogativo che ci poniamo con l’odierno approfondimento riguarda la recente strategia </w:t>
      </w:r>
      <w:r w:rsidR="0081019D">
        <w:t xml:space="preserve">difensiva </w:t>
      </w:r>
      <w:r>
        <w:t xml:space="preserve">adottata </w:t>
      </w:r>
      <w:r w:rsidR="005A38FB">
        <w:t>da alcune</w:t>
      </w:r>
      <w:r>
        <w:t xml:space="preserve"> società concessionarie di tratti autostradali per opporsi alle richieste di pagamento </w:t>
      </w:r>
      <w:r w:rsidR="0081019D">
        <w:t xml:space="preserve">CUP </w:t>
      </w:r>
      <w:r>
        <w:t>avanzate da Comuni, Province e Città Metropolitane, in riferimento alle occupazioni di soprassuolo realizzate con i viadotti nell’attraversamento di aree appartenenti al patrimonio indisponibile degli Enti locali.</w:t>
      </w:r>
    </w:p>
    <w:p w14:paraId="2170DB56" w14:textId="730600FC" w:rsidR="00285772" w:rsidRDefault="00285772" w:rsidP="00285772">
      <w:pPr>
        <w:jc w:val="both"/>
      </w:pPr>
      <w:r>
        <w:t xml:space="preserve">Dopo aver speso nel corso degli anni contenziosi sia presso </w:t>
      </w:r>
      <w:r w:rsidR="00053881">
        <w:t xml:space="preserve">le </w:t>
      </w:r>
      <w:r>
        <w:t xml:space="preserve">Corti di Giustizia di primo e secondo grado, sia presso i Tribunali Ordinari e Corti d’Appello, </w:t>
      </w:r>
      <w:r w:rsidR="00053881">
        <w:t>fino alle opposizioni</w:t>
      </w:r>
      <w:r>
        <w:t xml:space="preserve"> in</w:t>
      </w:r>
      <w:r w:rsidR="0081019D">
        <w:t>nanzi alla</w:t>
      </w:r>
      <w:r>
        <w:t xml:space="preserve"> Corte di Cassazione, oggi queste società spostano il contenzioso CUP presso i TAR </w:t>
      </w:r>
      <w:r w:rsidR="0081019D">
        <w:t>R</w:t>
      </w:r>
      <w:r>
        <w:t>egionali.</w:t>
      </w:r>
    </w:p>
    <w:p w14:paraId="44117F8B" w14:textId="7A3F79A4" w:rsidR="00285772" w:rsidRDefault="0081019D" w:rsidP="00285772">
      <w:pPr>
        <w:jc w:val="both"/>
      </w:pPr>
      <w:r>
        <w:t>Sia la</w:t>
      </w:r>
      <w:r w:rsidR="00285772">
        <w:t xml:space="preserve"> giustizia tributaria </w:t>
      </w:r>
      <w:r>
        <w:t>ch</w:t>
      </w:r>
      <w:r w:rsidR="00285772">
        <w:t xml:space="preserve">e </w:t>
      </w:r>
      <w:r>
        <w:t xml:space="preserve">quella </w:t>
      </w:r>
      <w:r w:rsidR="00285772">
        <w:t xml:space="preserve">ordinaria </w:t>
      </w:r>
      <w:r w:rsidR="00053881">
        <w:t>avevano</w:t>
      </w:r>
      <w:r w:rsidR="00285772">
        <w:t xml:space="preserve"> già formato un preciso orientamento</w:t>
      </w:r>
      <w:r>
        <w:t xml:space="preserve"> sul tema delle occupazioni realizzate con i viadotti autostradali</w:t>
      </w:r>
      <w:r w:rsidR="00285772">
        <w:t xml:space="preserve">, secondo il quale le società concessionarie sono </w:t>
      </w:r>
      <w:r w:rsidR="00973219">
        <w:t>indubbiamente</w:t>
      </w:r>
      <w:r>
        <w:t xml:space="preserve"> </w:t>
      </w:r>
      <w:r w:rsidR="00285772">
        <w:t>soggetto passivo CUP (prima lo erano per</w:t>
      </w:r>
      <w:r w:rsidR="00973219">
        <w:t xml:space="preserve"> i prelievi precedenti</w:t>
      </w:r>
      <w:r w:rsidR="00285772">
        <w:t xml:space="preserve"> Tosap e Cosap) sia </w:t>
      </w:r>
      <w:r w:rsidR="005A38FB">
        <w:t>in ordine a requisiti</w:t>
      </w:r>
      <w:r w:rsidR="00285772">
        <w:t xml:space="preserve"> soggettivi che per requisiti oggettivi, stante l’occupazione realizzata dalle infrastrutture gestite in regime di concessione dallo Stato.</w:t>
      </w:r>
    </w:p>
    <w:p w14:paraId="27026161" w14:textId="06F6833E" w:rsidR="00285772" w:rsidRDefault="005A38FB" w:rsidP="00285772">
      <w:pPr>
        <w:jc w:val="both"/>
      </w:pPr>
      <w:r>
        <w:t>Tutte</w:t>
      </w:r>
      <w:r w:rsidR="00285772">
        <w:t xml:space="preserve"> le sentenze della Corte di Cassazione hanno</w:t>
      </w:r>
      <w:r>
        <w:t xml:space="preserve"> sempre</w:t>
      </w:r>
      <w:r w:rsidR="00285772">
        <w:t xml:space="preserve"> </w:t>
      </w:r>
      <w:r w:rsidR="00973219">
        <w:t>monoliticamente</w:t>
      </w:r>
      <w:r w:rsidR="00285772">
        <w:t xml:space="preserve"> affermato l’applicazione del prelievo per le occupazioni di suolo pubblico a favore degli enti locali sul cui territorio </w:t>
      </w:r>
      <w:r w:rsidR="00973219">
        <w:t>sono stati costruiti</w:t>
      </w:r>
      <w:r w:rsidR="00285772">
        <w:t xml:space="preserve"> i viadotti autostradali</w:t>
      </w:r>
      <w:r w:rsidR="00F67C6C">
        <w:t xml:space="preserve">, </w:t>
      </w:r>
      <w:r w:rsidR="003B445E">
        <w:t xml:space="preserve">a nulla rilevando la </w:t>
      </w:r>
      <w:r w:rsidR="00F67C6C" w:rsidRPr="00F67C6C">
        <w:t xml:space="preserve">mancanza di una formale concessione </w:t>
      </w:r>
      <w:r w:rsidR="00F67C6C">
        <w:t xml:space="preserve">comunale </w:t>
      </w:r>
      <w:r w:rsidR="00F67C6C" w:rsidRPr="00F67C6C">
        <w:t xml:space="preserve">quando </w:t>
      </w:r>
      <w:r w:rsidR="003B445E" w:rsidRPr="00F67C6C">
        <w:t xml:space="preserve">di fatto </w:t>
      </w:r>
      <w:r w:rsidR="00F67C6C" w:rsidRPr="00F67C6C">
        <w:t xml:space="preserve">vi sia un'occupazione del </w:t>
      </w:r>
      <w:r w:rsidR="003B445E">
        <w:t>sopras</w:t>
      </w:r>
      <w:r w:rsidR="00F67C6C" w:rsidRPr="00F67C6C">
        <w:t>suolo pubblico</w:t>
      </w:r>
      <w:r w:rsidR="00F67C6C">
        <w:t>.</w:t>
      </w:r>
    </w:p>
    <w:p w14:paraId="0831F3D7" w14:textId="74D6B92A" w:rsidR="004A6A50" w:rsidRDefault="005A38FB" w:rsidP="004A6A50">
      <w:pPr>
        <w:jc w:val="both"/>
      </w:pPr>
      <w:r>
        <w:t xml:space="preserve">Che ci sia un orientamento saldamente consolidato lo si capisce dalla </w:t>
      </w:r>
      <w:r w:rsidR="004A6A50">
        <w:t>pronuncia della Q</w:t>
      </w:r>
      <w:r w:rsidR="004A6A50" w:rsidRPr="004A6A50">
        <w:t xml:space="preserve">uinta Sezione della Suprema Corte di Cassazione Civile </w:t>
      </w:r>
      <w:r w:rsidR="004A6A50">
        <w:t>nel</w:t>
      </w:r>
      <w:r w:rsidR="004A6A50" w:rsidRPr="004A6A50">
        <w:t xml:space="preserve">la sentenza n. 6029 del 6/3/2024, </w:t>
      </w:r>
      <w:r w:rsidR="004A6A50">
        <w:t xml:space="preserve">che, </w:t>
      </w:r>
      <w:r w:rsidR="004A6A50" w:rsidRPr="004A6A50">
        <w:t>nel respingere l’ennesimo ricorso</w:t>
      </w:r>
      <w:r>
        <w:t xml:space="preserve">, </w:t>
      </w:r>
      <w:r w:rsidR="004A6A50" w:rsidRPr="004A6A50">
        <w:t xml:space="preserve">condanna la </w:t>
      </w:r>
      <w:r w:rsidR="004A6A50">
        <w:t>concessionaria autostradale</w:t>
      </w:r>
      <w:r w:rsidR="004A6A50" w:rsidRPr="004A6A50">
        <w:t xml:space="preserve">, alle spese per soccombenza nonché ai provvedimenti di cui all’articolo 96 del codice di procedura civile, riscontrando una responsabilità aggravata del ricorrente, ergo un </w:t>
      </w:r>
      <w:r w:rsidR="004A6A50" w:rsidRPr="004A6A50">
        <w:rPr>
          <w:i/>
          <w:iCs/>
        </w:rPr>
        <w:t>abuso del processo</w:t>
      </w:r>
      <w:r w:rsidR="004A6A50" w:rsidRPr="004A6A50">
        <w:t xml:space="preserve">. </w:t>
      </w:r>
    </w:p>
    <w:p w14:paraId="35A2EAEA" w14:textId="6454118B" w:rsidR="004A6A50" w:rsidRPr="004A6A50" w:rsidRDefault="004A6A50" w:rsidP="004A6A50">
      <w:pPr>
        <w:jc w:val="both"/>
      </w:pPr>
      <w:r w:rsidRPr="004A6A50">
        <w:t xml:space="preserve">Nella sentenza si legge: </w:t>
      </w:r>
      <w:r w:rsidRPr="004A6A50">
        <w:rPr>
          <w:i/>
          <w:iCs/>
        </w:rPr>
        <w:t xml:space="preserve">“In definitiva, il ricorso deve essere rigettato. Alla soccombenza seguono le spese e i provvedimenti di cui all’art. 96 cod.proc.civ., atteso che, come chiarito da Cass., Sez. U., 13 ottobre 2023, n. 28540, in tema di procedimento per la decisione accelerata dei ricorsi inammissibili, improcedibili o manifestamente infondati, l'art. 380-bis, comma 3, c.p.c. (come novellato dal d.lgs. n. 149 del 2022) - che, nei casi di definizione del giudizio in conformità alla proposta, contiene una valutazione legale tipica della sussistenza dei presupposti per la condanna ai sensi del terzo e del quarto comma dell'art. 96 c.p.c. - codifica un'ipotesi normativa di abuso del processo, poiché il non attenersi ad una valutazione del proponente, poi confermata nella decisione definitiva, lascia presumere una responsabilità aggravata del ricorrente. Per l’effetto, ritiene la Corte di dover disporre la condanna della ricorrente anche al pagamento della somma di euro 2.500 in favore della cassa delle ammende e di euro 3.000,00 a favore del Comune.” </w:t>
      </w:r>
    </w:p>
    <w:p w14:paraId="461AEB46" w14:textId="77777777" w:rsidR="004A6A50" w:rsidRPr="004A6A50" w:rsidRDefault="004A6A50" w:rsidP="004A6A50">
      <w:pPr>
        <w:jc w:val="both"/>
      </w:pPr>
      <w:r w:rsidRPr="004A6A50">
        <w:t xml:space="preserve">L’abuso del processo consiste nello sfruttamento della propria posizione giuridica al fine di intralciarne o peggiorarne una o più altre. In altre parole, si sfrutta una facoltà lecita per scopi ingiusti. </w:t>
      </w:r>
    </w:p>
    <w:p w14:paraId="2EA4016D" w14:textId="2D376B7A" w:rsidR="004A6A50" w:rsidRDefault="004A6A50" w:rsidP="004A6A50">
      <w:pPr>
        <w:jc w:val="both"/>
      </w:pPr>
      <w:r w:rsidRPr="004A6A50">
        <w:t xml:space="preserve">I giudici quindi ritengono che </w:t>
      </w:r>
      <w:r>
        <w:t>la concessionaria</w:t>
      </w:r>
      <w:r w:rsidRPr="004A6A50">
        <w:t>, abbia instaurato una causa persa in partenza solo per opporre una inutile resistenza e guadagnare tempo o farlo perdere alla controparte (Comuni, Città Metropolitane e Province).</w:t>
      </w:r>
    </w:p>
    <w:p w14:paraId="5EB60645" w14:textId="32BFAE2A" w:rsidR="00901AD8" w:rsidRDefault="00901AD8" w:rsidP="00901AD8">
      <w:pPr>
        <w:jc w:val="both"/>
      </w:pPr>
      <w:r w:rsidRPr="00901AD8">
        <w:t>Una presa di posizione forte della Cassazione sul tema della soggettività passiva dei viadotti autostradali</w:t>
      </w:r>
      <w:r>
        <w:t xml:space="preserve"> che ha evidentemente portato le concessionarie dei tratti autostradali ad un cambio di strategia rivolgendo i </w:t>
      </w:r>
      <w:r w:rsidR="00053881">
        <w:t xml:space="preserve">propri </w:t>
      </w:r>
      <w:r>
        <w:t>ricorsi contro i provvedimenti emessi dagli enti territoriali davanti ai giudici del Tribunale Amministrativo.</w:t>
      </w:r>
    </w:p>
    <w:p w14:paraId="4E1B710B" w14:textId="54F2C422" w:rsidR="00901AD8" w:rsidRPr="00901AD8" w:rsidRDefault="00901AD8" w:rsidP="00285772">
      <w:pPr>
        <w:jc w:val="both"/>
        <w:rPr>
          <w:b/>
          <w:bCs/>
        </w:rPr>
      </w:pPr>
      <w:r w:rsidRPr="00901AD8">
        <w:rPr>
          <w:b/>
          <w:bCs/>
        </w:rPr>
        <w:lastRenderedPageBreak/>
        <w:t>La posizione della Corte di Cassazione</w:t>
      </w:r>
      <w:r w:rsidR="003B445E">
        <w:rPr>
          <w:b/>
          <w:bCs/>
        </w:rPr>
        <w:t xml:space="preserve"> sul merito </w:t>
      </w:r>
    </w:p>
    <w:p w14:paraId="2131C39C" w14:textId="0DCC814D" w:rsidR="00F67C6C" w:rsidRDefault="00F67C6C" w:rsidP="00285772">
      <w:pPr>
        <w:jc w:val="both"/>
      </w:pPr>
      <w:r w:rsidRPr="00F67C6C">
        <w:t xml:space="preserve">La giurisprudenza di legittimità ha chiarito, in casi riguardanti le diverse fattispecie di COSAP e TOSAP ma con motivazioni applicabili anche al CUP, che </w:t>
      </w:r>
      <w:r>
        <w:t>il canone</w:t>
      </w:r>
      <w:r w:rsidRPr="00F67C6C">
        <w:t xml:space="preserve"> risulta configurato come corrispettivo di una concessione, reale o presunta</w:t>
      </w:r>
      <w:r>
        <w:t xml:space="preserve">, </w:t>
      </w:r>
      <w:r w:rsidRPr="00F67C6C">
        <w:t>dell'uso esclusivo o speciale di beni pubblici</w:t>
      </w:r>
      <w:r>
        <w:t>,</w:t>
      </w:r>
      <w:r w:rsidRPr="00F67C6C">
        <w:t xml:space="preserve"> ed è dovuto non in base alla limitazione o sottrazione all'uso normale o collettivo di parte del suolo, ma in relazione all'utilizzazione particolare o eccezionale che ne trae il singolo</w:t>
      </w:r>
      <w:r>
        <w:t>.</w:t>
      </w:r>
      <w:r w:rsidRPr="00F67C6C">
        <w:t xml:space="preserve"> </w:t>
      </w:r>
    </w:p>
    <w:p w14:paraId="436E3359" w14:textId="77777777" w:rsidR="00F67C6C" w:rsidRDefault="00F67C6C" w:rsidP="00285772">
      <w:pPr>
        <w:jc w:val="both"/>
      </w:pPr>
      <w:r>
        <w:t>I</w:t>
      </w:r>
      <w:r w:rsidRPr="00F67C6C">
        <w:t xml:space="preserve">l presupposto applicativo del </w:t>
      </w:r>
      <w:r>
        <w:t>Canone</w:t>
      </w:r>
      <w:r w:rsidRPr="00F67C6C">
        <w:t xml:space="preserve"> è costituito dall'uso particolare del bene di proprietà pubblica ed è irrilevante la mancanza di una formale concessione quando vi sia un'occupazione di fatto del suolo pubblico (Cass. n. 17296 del 27/06/2019; Cass. n. 18037 del 06/08/2009; Cass. n. 3710 dell'8/02/2019; Cass. n. 10733 del 04/05/2018; Cass. n. 1435 del 19/01/2018; in motivazione, Cass. n. 9240 del 20/05/2020). </w:t>
      </w:r>
    </w:p>
    <w:p w14:paraId="413BDEF3" w14:textId="23F8D569" w:rsidR="00165223" w:rsidRDefault="00165223" w:rsidP="00F67C6C">
      <w:pPr>
        <w:jc w:val="both"/>
        <w:rPr>
          <w:i/>
          <w:iCs/>
        </w:rPr>
      </w:pPr>
      <w:r w:rsidRPr="00165223">
        <w:t>Anche recentemente la Corte di Cassazione, richiamando espressamente il consolidato proprio orientamento sul tema ha affermato che</w:t>
      </w:r>
      <w:r w:rsidRPr="00165223">
        <w:rPr>
          <w:i/>
          <w:iCs/>
        </w:rPr>
        <w:t xml:space="preserve">: </w:t>
      </w:r>
      <w:r>
        <w:rPr>
          <w:i/>
          <w:iCs/>
        </w:rPr>
        <w:t>“</w:t>
      </w:r>
      <w:r w:rsidRPr="00165223">
        <w:rPr>
          <w:i/>
          <w:iCs/>
        </w:rPr>
        <w:t xml:space="preserve">Occorre ribadire che la concessione autostradale rappresenta provvedimento applicativo ben diverso dall’autorizzazione comunale per l’occupazione di spazi ed aree pubbliche. Deve richiamarsi la giurisprudenza di questa Corte per cui il canone per l’occupazione di spazi ed aree pubbliche (COSAP) </w:t>
      </w:r>
      <w:r w:rsidRPr="00165223">
        <w:rPr>
          <w:i/>
          <w:iCs/>
          <w:u w:val="single"/>
        </w:rPr>
        <w:t xml:space="preserve">costituisce il corrispettivo dell’utilizzazione particolare (o eccezionale) di beni pubblici e non richiede un formale atto di concessione, essendo sufficiente l’occupazione di fatto </w:t>
      </w:r>
      <w:r w:rsidRPr="00165223">
        <w:rPr>
          <w:i/>
          <w:iCs/>
        </w:rPr>
        <w:t xml:space="preserve">dei menzionati beni, sicché la società, concessionaria statale, che abbia realizzato e gestito un’opera pubblica, </w:t>
      </w:r>
      <w:r w:rsidRPr="00DD243C">
        <w:rPr>
          <w:i/>
          <w:iCs/>
          <w:u w:val="single"/>
        </w:rPr>
        <w:t>occupando di fatto spazi rientranti nel demanio comunale o provinciale</w:t>
      </w:r>
      <w:r w:rsidRPr="00165223">
        <w:rPr>
          <w:i/>
          <w:iCs/>
        </w:rPr>
        <w:t xml:space="preserve">, è tenuta al pagamento del canone, non assumendo rilievo il fatto che l’opera sia di proprietà statale, </w:t>
      </w:r>
      <w:r w:rsidRPr="00DD243C">
        <w:rPr>
          <w:i/>
          <w:iCs/>
          <w:u w:val="single"/>
        </w:rPr>
        <w:t>poiché la condotta occupativa è posta in essere dalla società nello svolgimento, in piena autonomia, della propria attività d’impresa</w:t>
      </w:r>
      <w:r w:rsidRPr="00165223">
        <w:rPr>
          <w:i/>
          <w:iCs/>
        </w:rPr>
        <w:t xml:space="preserve"> (Cass., sez. 1, 10/6/2021, n. 16395)</w:t>
      </w:r>
      <w:r>
        <w:rPr>
          <w:i/>
          <w:iCs/>
        </w:rPr>
        <w:t>”</w:t>
      </w:r>
      <w:r w:rsidRPr="00165223">
        <w:rPr>
          <w:i/>
          <w:iCs/>
        </w:rPr>
        <w:t xml:space="preserve"> (Cass. civ., Sez. I, ord. 25 settembre 2024, n. 25614)</w:t>
      </w:r>
      <w:r>
        <w:rPr>
          <w:i/>
          <w:iCs/>
        </w:rPr>
        <w:t>.</w:t>
      </w:r>
    </w:p>
    <w:p w14:paraId="72624ED3" w14:textId="73F2D2E6" w:rsidR="00053881" w:rsidRDefault="00053881" w:rsidP="00F67C6C">
      <w:pPr>
        <w:jc w:val="both"/>
      </w:pPr>
      <w:r w:rsidRPr="00053881">
        <w:t>A nulla rileva</w:t>
      </w:r>
      <w:r w:rsidR="003B445E">
        <w:t xml:space="preserve"> </w:t>
      </w:r>
      <w:r w:rsidR="005A38FB">
        <w:t>pertanto la</w:t>
      </w:r>
      <w:r w:rsidR="003B445E">
        <w:t xml:space="preserve"> circostanza</w:t>
      </w:r>
      <w:r w:rsidRPr="00053881">
        <w:t xml:space="preserve"> che il viadotto sia di proprietà del demanio e che, al termine della concessione, anche la gestione di esso ritorni in capo allo Stato poiché, nel periodo di durata della concessione stessa, il bene, che pure è funzionale all’esercizio di un servizio di pubblica utilità, è gestito in regime di concessione da un ente che agisce in piena autonomia e non quale mero sostituto dello Stato nello sfruttamento dei beni.</w:t>
      </w:r>
      <w:r>
        <w:t xml:space="preserve"> Risultano quindi inapplicabili le ipotesi di esenzione dal Canone per la carenza di requisiti soggettivi.</w:t>
      </w:r>
    </w:p>
    <w:p w14:paraId="195D6A95" w14:textId="01AB84B0" w:rsidR="00DD243C" w:rsidRPr="003B445E" w:rsidRDefault="003B445E" w:rsidP="00F67C6C">
      <w:pPr>
        <w:jc w:val="both"/>
        <w:rPr>
          <w:b/>
          <w:bCs/>
        </w:rPr>
      </w:pPr>
      <w:r w:rsidRPr="003B445E">
        <w:rPr>
          <w:b/>
          <w:bCs/>
        </w:rPr>
        <w:t xml:space="preserve">La nuova </w:t>
      </w:r>
      <w:r w:rsidR="005A38FB">
        <w:rPr>
          <w:b/>
          <w:bCs/>
        </w:rPr>
        <w:t>strategia</w:t>
      </w:r>
      <w:r w:rsidRPr="003B445E">
        <w:rPr>
          <w:b/>
          <w:bCs/>
        </w:rPr>
        <w:t xml:space="preserve"> delle Concessionarie autostradali</w:t>
      </w:r>
    </w:p>
    <w:p w14:paraId="1AC7165F" w14:textId="115E1835" w:rsidR="003B445E" w:rsidRDefault="003B445E" w:rsidP="00F67C6C">
      <w:pPr>
        <w:jc w:val="both"/>
      </w:pPr>
      <w:r>
        <w:t>Evidentemente, visto l’andamento del contenzioso in sede di giustizia tributaria e ordinaria rispettivamente per le controversie in regime di entrata Tosap e COSAP/CUP, le società concessionarie dei tratti autostradali per l’Italia, hanno intrapreso la via dei ricorsi innanzi ai Tribunali Amministrativi Regionali competenti, nel tentativo di sovvertire un orientamento più che consolidato in tutti i gradi di giu</w:t>
      </w:r>
      <w:r w:rsidR="005A38FB">
        <w:t>dizio</w:t>
      </w:r>
      <w:r>
        <w:t>.</w:t>
      </w:r>
    </w:p>
    <w:p w14:paraId="423E10AB" w14:textId="053F09D7" w:rsidR="003B445E" w:rsidRDefault="003B445E" w:rsidP="00F67C6C">
      <w:pPr>
        <w:jc w:val="both"/>
      </w:pPr>
      <w:r>
        <w:t xml:space="preserve">Nei ricorsi innanzi al TAR vengono impugnati i provvedimenti </w:t>
      </w:r>
      <w:r w:rsidR="000B4EA0">
        <w:t>invocando la</w:t>
      </w:r>
      <w:r>
        <w:t xml:space="preserve"> </w:t>
      </w:r>
      <w:r w:rsidR="000B4EA0" w:rsidRPr="000B4EA0">
        <w:t>mancata assoggettabilità al Canone Unico Patrimoniale della concessionaria statale per la costruzione e l’esercizio di infrastruttura autostradale</w:t>
      </w:r>
      <w:r w:rsidR="000B4EA0">
        <w:t>.</w:t>
      </w:r>
    </w:p>
    <w:p w14:paraId="02A50AE3" w14:textId="1EACB2BD" w:rsidR="000B4EA0" w:rsidRDefault="000B4EA0" w:rsidP="00F67C6C">
      <w:pPr>
        <w:jc w:val="both"/>
      </w:pPr>
      <w:r>
        <w:t xml:space="preserve">Viene opposto sia il difetto di presupposto soggettivo non essendo la concessionaria autostradale titolare di una </w:t>
      </w:r>
      <w:r w:rsidRPr="000B4EA0">
        <w:rPr>
          <w:i/>
          <w:iCs/>
        </w:rPr>
        <w:t>concessione</w:t>
      </w:r>
      <w:r>
        <w:rPr>
          <w:i/>
          <w:iCs/>
        </w:rPr>
        <w:t xml:space="preserve"> </w:t>
      </w:r>
      <w:r>
        <w:t xml:space="preserve">per un’occupazione di suolo comunale, sia la circostanza che non possa essere considerata alla stregua di un occupante abusivo, </w:t>
      </w:r>
      <w:r w:rsidRPr="000B4EA0">
        <w:t>atteso che i</w:t>
      </w:r>
      <w:r>
        <w:t xml:space="preserve"> viadotti vengono</w:t>
      </w:r>
      <w:r w:rsidRPr="000B4EA0">
        <w:t xml:space="preserve"> realizzat</w:t>
      </w:r>
      <w:r>
        <w:t>i</w:t>
      </w:r>
      <w:r w:rsidRPr="000B4EA0">
        <w:t xml:space="preserve"> in forza della concessione con cui lo Stato ha affidato la costruzione e l’esercizio dell’</w:t>
      </w:r>
      <w:r>
        <w:t>a</w:t>
      </w:r>
      <w:r w:rsidRPr="000B4EA0">
        <w:t>utostrada.</w:t>
      </w:r>
    </w:p>
    <w:p w14:paraId="00ABA82A" w14:textId="386F9F00" w:rsidR="009A55D8" w:rsidRDefault="009A55D8" w:rsidP="001D69BA">
      <w:pPr>
        <w:jc w:val="both"/>
        <w:rPr>
          <w:i/>
          <w:iCs/>
        </w:rPr>
      </w:pPr>
      <w:r>
        <w:t xml:space="preserve">L’iniziativa </w:t>
      </w:r>
      <w:r w:rsidR="001D69BA">
        <w:t xml:space="preserve">segue un </w:t>
      </w:r>
      <w:r w:rsidR="005A38FB">
        <w:t xml:space="preserve">caso di </w:t>
      </w:r>
      <w:r w:rsidR="001D69BA">
        <w:t>pronunciamento del Consiglio di Stato del 2023 (</w:t>
      </w:r>
      <w:bookmarkStart w:id="0" w:name="_Hlk199935112"/>
      <w:r w:rsidR="001D69BA" w:rsidRPr="001D69BA">
        <w:t>Cons. di Stato, Sez. V, n. 10010 del 22.11.2023</w:t>
      </w:r>
      <w:bookmarkEnd w:id="0"/>
      <w:r w:rsidR="001D69BA">
        <w:t xml:space="preserve">) che </w:t>
      </w:r>
      <w:r w:rsidR="005A38FB">
        <w:t>riconobbe</w:t>
      </w:r>
      <w:r w:rsidR="001D69BA">
        <w:t xml:space="preserve"> l’esclusione dall’ambito applicativo COSAP </w:t>
      </w:r>
      <w:r w:rsidR="005A38FB">
        <w:t xml:space="preserve">per </w:t>
      </w:r>
      <w:r w:rsidR="001D69BA">
        <w:t xml:space="preserve">le occupazioni che </w:t>
      </w:r>
      <w:r w:rsidR="001D69BA" w:rsidRPr="001D69BA">
        <w:rPr>
          <w:i/>
          <w:iCs/>
        </w:rPr>
        <w:t>“non necessitano di concessione provinciale ossia quelle che non si riferiscono a beni appartenenti al demanio o al patrimonio indisponibile dell’ente locale, ovvero le ipotesi in cui il medesimo ente sia sprovvisto del potere di accordare (o negare) l’occupazione, in quanto involgenti interessi di più ampio rilievo”</w:t>
      </w:r>
    </w:p>
    <w:p w14:paraId="361FD0F4" w14:textId="2CEFD9FD" w:rsidR="001D69BA" w:rsidRDefault="001D69BA" w:rsidP="001D69BA">
      <w:pPr>
        <w:jc w:val="both"/>
        <w:rPr>
          <w:i/>
          <w:iCs/>
        </w:rPr>
      </w:pPr>
      <w:r>
        <w:lastRenderedPageBreak/>
        <w:t xml:space="preserve">Il Consiglio di Stato nella </w:t>
      </w:r>
      <w:r w:rsidR="00BE4D9E">
        <w:t>pronuncia</w:t>
      </w:r>
      <w:r>
        <w:t xml:space="preserve"> specifica</w:t>
      </w:r>
      <w:r w:rsidR="005A38FB">
        <w:t>va</w:t>
      </w:r>
      <w:r>
        <w:t xml:space="preserve"> che: “</w:t>
      </w:r>
      <w:r w:rsidRPr="001D69BA">
        <w:rPr>
          <w:i/>
          <w:iCs/>
        </w:rPr>
        <w:t>Nel caso di specie, non è contestata in atti la proprietà statale dell’infrastruttura autostradale di cui fanno parte integrante i pontoni sui quali si controverte, trovando quindi applicazione la regola di cui all’art. 822, comma 2 Cod. civ., a mente del quale “Fanno parimenti parte del demanio pubblico, se appartengono allo Stato, le strade, le autostrade e le strade ferrate […]”. Ne consegue l’impossibilità di configurare i presupposti applicativi del canone, posto che questo non può certo gravare un bene del demanio statale, per di più realizzato per evidenti finalità di interesse nazionale</w:t>
      </w:r>
      <w:r>
        <w:rPr>
          <w:i/>
          <w:iCs/>
        </w:rPr>
        <w:t>”</w:t>
      </w:r>
    </w:p>
    <w:p w14:paraId="2C1E2E11" w14:textId="1E9ADE3F" w:rsidR="00BE4D9E" w:rsidRDefault="00BE4D9E" w:rsidP="001D69BA">
      <w:pPr>
        <w:jc w:val="both"/>
        <w:rPr>
          <w:i/>
          <w:iCs/>
        </w:rPr>
      </w:pPr>
      <w:r>
        <w:t>Prosegu</w:t>
      </w:r>
      <w:r w:rsidR="005A38FB">
        <w:t>iva</w:t>
      </w:r>
      <w:r>
        <w:t xml:space="preserve"> affermando che su questo tema: “</w:t>
      </w:r>
      <w:r w:rsidRPr="00BE4D9E">
        <w:rPr>
          <w:i/>
          <w:iCs/>
        </w:rPr>
        <w:t>Neppure è condivisibile l’argomento secondo cui l’esonero dal pagamento del canone potrebbe valere per lo Stato – laddove gestisse direttamente la struttura autostradale – in ragione del fatto che lo stesso perseguirebbe istituzionalmente finalità non lucrative ma di pubblico interesse, ma non anche per il concessionario, in quanto operatore economico la cui attività è invece finalizzata alla realizzazione di un vantaggio patrimoniale privato, muovendo tale assunto da una prospettiva di analisi errata. Invero, come già detto, il Canone per l'occupazione di spazi pubblici è dovuto dal soggetto che utilizza in modo esclusivo uno spazio pubblico oppure un’area pubblica (ricadenti nel demanio o nel patrimonio indisponibile dell’ente locale), utilizzazione per la quale avrebbe dovuto preventivamente chiedere il rilascio di un atto di concessione o di autorizzazione all’occupazione del sottosuolo e soprasuolo pubblico. Nel caso in cui ad insistere sul soprasuolo pubblico non sia un manufatto Privato bensì un bene del demanio dello Stato, però, non può parlarsi di “utilizzazione” da parte del bene demaniale (o di chi ne abbia la gestione) di spazi appartenenti ad altro ente pubblico territoriale, né (per rimanere alla qualificazione operata dal regolamento della Provincia di Teramo), di “superficie effettivamente sottratta all’uso pubblico” ad opera del bene demaniale medesimo.</w:t>
      </w:r>
      <w:r>
        <w:rPr>
          <w:i/>
          <w:iCs/>
        </w:rPr>
        <w:t>”</w:t>
      </w:r>
    </w:p>
    <w:p w14:paraId="6781CFFB" w14:textId="1544E042" w:rsidR="00BE4D9E" w:rsidRDefault="00BE4D9E" w:rsidP="001D69BA">
      <w:pPr>
        <w:jc w:val="both"/>
      </w:pPr>
      <w:r>
        <w:t>La posizione del Consiglio di Stato, nella sentenza presa in esame, di fatto si pone in contrasto con le motivazioni assunte dai diversi organi di giustizia tributaria e ordinaria, nonché d</w:t>
      </w:r>
      <w:r w:rsidR="00250A31">
        <w:t>a</w:t>
      </w:r>
      <w:r>
        <w:t>lla suprema Corte di Cassazione.</w:t>
      </w:r>
    </w:p>
    <w:p w14:paraId="2E5C096E" w14:textId="5ABCF30C" w:rsidR="00BE4D9E" w:rsidRDefault="00BE4D9E" w:rsidP="001D69BA">
      <w:pPr>
        <w:jc w:val="both"/>
      </w:pPr>
      <w:r>
        <w:t>È dunque evidente come, in questa situazione di diversa interpretazione della materia, le società concessionarie dei tratti autostradali, abbiano deciso di cambiare strategia rispetto al passato, andando ad impugnare i provvedimenti CUP innanzi al TAR piuttosto che</w:t>
      </w:r>
      <w:r w:rsidR="005A38FB">
        <w:t xml:space="preserve"> continuare a difendersi</w:t>
      </w:r>
      <w:r>
        <w:t xml:space="preserve"> davanti al giudice del Tribunale Ordinario.</w:t>
      </w:r>
    </w:p>
    <w:p w14:paraId="188DB0C2" w14:textId="2FF61FC5" w:rsidR="00BE4D9E" w:rsidRPr="00BE4D9E" w:rsidRDefault="00250A31" w:rsidP="001D69BA">
      <w:pPr>
        <w:jc w:val="both"/>
      </w:pPr>
      <w:r>
        <w:t xml:space="preserve">Non resta che attendere l’esito dei ricorsi in Cassazione </w:t>
      </w:r>
      <w:r w:rsidR="00B43FEC">
        <w:t xml:space="preserve">anche </w:t>
      </w:r>
      <w:r>
        <w:t xml:space="preserve">per </w:t>
      </w:r>
      <w:r w:rsidR="00B43FEC">
        <w:t>il filone dei</w:t>
      </w:r>
      <w:r>
        <w:t xml:space="preserve"> ricorsi </w:t>
      </w:r>
      <w:r w:rsidR="005A38FB">
        <w:t xml:space="preserve">presentati innanzi ai giudici amministrativi. Vedremo se la suprema Corte manterrà l’orientamento assunto </w:t>
      </w:r>
      <w:r w:rsidR="00B43FEC">
        <w:t>finora</w:t>
      </w:r>
      <w:r w:rsidR="005A38FB">
        <w:t xml:space="preserve"> sulla formazione del presupposto legato in capo alle società concessionarie di tratti au</w:t>
      </w:r>
      <w:r w:rsidR="00B43FEC">
        <w:t>tostradali.</w:t>
      </w:r>
    </w:p>
    <w:p w14:paraId="75548410" w14:textId="77777777" w:rsidR="000B4EA0" w:rsidRPr="000B4EA0" w:rsidRDefault="000B4EA0" w:rsidP="00F67C6C">
      <w:pPr>
        <w:jc w:val="both"/>
      </w:pPr>
    </w:p>
    <w:p w14:paraId="0C7EEAD5" w14:textId="77777777" w:rsidR="00165223" w:rsidRPr="00901AD8" w:rsidRDefault="00165223" w:rsidP="00F67C6C">
      <w:pPr>
        <w:jc w:val="both"/>
        <w:rPr>
          <w:i/>
          <w:iCs/>
        </w:rPr>
      </w:pPr>
    </w:p>
    <w:p w14:paraId="75C906D3" w14:textId="77777777" w:rsidR="004A6A50" w:rsidRDefault="004A6A50" w:rsidP="00F67C6C">
      <w:pPr>
        <w:jc w:val="both"/>
      </w:pPr>
    </w:p>
    <w:p w14:paraId="0F362919" w14:textId="77777777" w:rsidR="00DE4E80" w:rsidRDefault="00DE4E80" w:rsidP="00285772">
      <w:pPr>
        <w:jc w:val="both"/>
      </w:pPr>
    </w:p>
    <w:sectPr w:rsidR="00DE4E8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F5C"/>
    <w:rsid w:val="00053881"/>
    <w:rsid w:val="00060149"/>
    <w:rsid w:val="00061F45"/>
    <w:rsid w:val="000B4EA0"/>
    <w:rsid w:val="00165223"/>
    <w:rsid w:val="001D69BA"/>
    <w:rsid w:val="00234971"/>
    <w:rsid w:val="00250A31"/>
    <w:rsid w:val="00285772"/>
    <w:rsid w:val="003B445E"/>
    <w:rsid w:val="004A6A50"/>
    <w:rsid w:val="005A38FB"/>
    <w:rsid w:val="007B1496"/>
    <w:rsid w:val="0081019D"/>
    <w:rsid w:val="00901AD8"/>
    <w:rsid w:val="00973219"/>
    <w:rsid w:val="009A55D8"/>
    <w:rsid w:val="00B43FEC"/>
    <w:rsid w:val="00BE4D9E"/>
    <w:rsid w:val="00DD243C"/>
    <w:rsid w:val="00DE4E80"/>
    <w:rsid w:val="00F67C6C"/>
    <w:rsid w:val="00FB5F5C"/>
    <w:rsid w:val="00FC637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7CBA2"/>
  <w15:chartTrackingRefBased/>
  <w15:docId w15:val="{364B7B00-1B34-4004-B6CC-454C5826F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B5F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FB5F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FB5F5C"/>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FB5F5C"/>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FB5F5C"/>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FB5F5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B5F5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B5F5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B5F5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B5F5C"/>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FB5F5C"/>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FB5F5C"/>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FB5F5C"/>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FB5F5C"/>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FB5F5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B5F5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B5F5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B5F5C"/>
    <w:rPr>
      <w:rFonts w:eastAsiaTheme="majorEastAsia" w:cstheme="majorBidi"/>
      <w:color w:val="272727" w:themeColor="text1" w:themeTint="D8"/>
    </w:rPr>
  </w:style>
  <w:style w:type="paragraph" w:styleId="Titolo">
    <w:name w:val="Title"/>
    <w:basedOn w:val="Normale"/>
    <w:next w:val="Normale"/>
    <w:link w:val="TitoloCarattere"/>
    <w:uiPriority w:val="10"/>
    <w:qFormat/>
    <w:rsid w:val="00FB5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B5F5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B5F5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B5F5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B5F5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B5F5C"/>
    <w:rPr>
      <w:i/>
      <w:iCs/>
      <w:color w:val="404040" w:themeColor="text1" w:themeTint="BF"/>
    </w:rPr>
  </w:style>
  <w:style w:type="paragraph" w:styleId="Paragrafoelenco">
    <w:name w:val="List Paragraph"/>
    <w:basedOn w:val="Normale"/>
    <w:uiPriority w:val="34"/>
    <w:qFormat/>
    <w:rsid w:val="00FB5F5C"/>
    <w:pPr>
      <w:ind w:left="720"/>
      <w:contextualSpacing/>
    </w:pPr>
  </w:style>
  <w:style w:type="character" w:styleId="Enfasiintensa">
    <w:name w:val="Intense Emphasis"/>
    <w:basedOn w:val="Carpredefinitoparagrafo"/>
    <w:uiPriority w:val="21"/>
    <w:qFormat/>
    <w:rsid w:val="00FB5F5C"/>
    <w:rPr>
      <w:i/>
      <w:iCs/>
      <w:color w:val="2F5496" w:themeColor="accent1" w:themeShade="BF"/>
    </w:rPr>
  </w:style>
  <w:style w:type="paragraph" w:styleId="Citazioneintensa">
    <w:name w:val="Intense Quote"/>
    <w:basedOn w:val="Normale"/>
    <w:next w:val="Normale"/>
    <w:link w:val="CitazioneintensaCarattere"/>
    <w:uiPriority w:val="30"/>
    <w:qFormat/>
    <w:rsid w:val="00FB5F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FB5F5C"/>
    <w:rPr>
      <w:i/>
      <w:iCs/>
      <w:color w:val="2F5496" w:themeColor="accent1" w:themeShade="BF"/>
    </w:rPr>
  </w:style>
  <w:style w:type="character" w:styleId="Riferimentointenso">
    <w:name w:val="Intense Reference"/>
    <w:basedOn w:val="Carpredefinitoparagrafo"/>
    <w:uiPriority w:val="32"/>
    <w:qFormat/>
    <w:rsid w:val="00FB5F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3</Pages>
  <Words>1667</Words>
  <Characters>9508</Characters>
  <Application>Microsoft Office Word</Application>
  <DocSecurity>0</DocSecurity>
  <Lines>79</Lines>
  <Paragraphs>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8</cp:revision>
  <dcterms:created xsi:type="dcterms:W3CDTF">2025-06-03T14:57:00Z</dcterms:created>
  <dcterms:modified xsi:type="dcterms:W3CDTF">2025-06-05T06:40:00Z</dcterms:modified>
</cp:coreProperties>
</file>