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F2CCA" w14:textId="77777777" w:rsidR="005771B1" w:rsidRPr="005771B1" w:rsidRDefault="005771B1" w:rsidP="005771B1">
      <w:pPr>
        <w:jc w:val="both"/>
        <w:rPr>
          <w:b/>
          <w:bCs/>
        </w:rPr>
      </w:pPr>
      <w:r w:rsidRPr="005771B1">
        <w:rPr>
          <w:b/>
          <w:bCs/>
        </w:rPr>
        <w:t>Alessandro Merciari</w:t>
      </w:r>
    </w:p>
    <w:p w14:paraId="2A224DC0" w14:textId="0B66226B" w:rsidR="005771B1" w:rsidRDefault="005771B1" w:rsidP="005771B1">
      <w:pPr>
        <w:jc w:val="both"/>
      </w:pPr>
      <w:r>
        <w:t>Responsabile Area Legale e Compliance della Società pubblica Spezia Risorse Spa. Esperto in materia di gestione, accertamento e riscossione delle Entrate locali. Svolge attività di formazione per Comuni, Province e Società pubbliche. Componente del comitato scientifico di SMART 24 TRIBUTI LOCALI. Autore di numerose pubblicazioni in materia di fiscalità locale.</w:t>
      </w:r>
    </w:p>
    <w:p w14:paraId="01EB874C" w14:textId="77777777" w:rsidR="005771B1" w:rsidRDefault="005771B1" w:rsidP="00B748E6">
      <w:pPr>
        <w:jc w:val="both"/>
      </w:pPr>
    </w:p>
    <w:p w14:paraId="25900F1F" w14:textId="005FC376" w:rsidR="005771B1" w:rsidRPr="005771B1" w:rsidRDefault="005771B1" w:rsidP="00B748E6">
      <w:pPr>
        <w:jc w:val="both"/>
        <w:rPr>
          <w:b/>
          <w:bCs/>
        </w:rPr>
      </w:pPr>
      <w:r w:rsidRPr="005771B1">
        <w:rPr>
          <w:b/>
          <w:bCs/>
        </w:rPr>
        <w:t>Descrizione dell’opera:</w:t>
      </w:r>
      <w:r>
        <w:rPr>
          <w:b/>
          <w:bCs/>
        </w:rPr>
        <w:t xml:space="preserve"> </w:t>
      </w:r>
      <w:r w:rsidRPr="005771B1">
        <w:rPr>
          <w:b/>
          <w:bCs/>
        </w:rPr>
        <w:t>La figura del Pubblico Ufficiale in ambito CUP</w:t>
      </w:r>
    </w:p>
    <w:p w14:paraId="0ADC133A" w14:textId="4A7604D3" w:rsidR="00B748E6" w:rsidRDefault="00B748E6" w:rsidP="00B748E6">
      <w:pPr>
        <w:jc w:val="both"/>
      </w:pPr>
      <w:r>
        <w:t xml:space="preserve">Con questo lavoro si vuole offrire una analisi del ruolo del Pubblico Ufficiale nell’ambito della gestione del Canone Unico Patrimoniale, l’entrata introdotta dal Legislatore </w:t>
      </w:r>
      <w:r w:rsidR="001E7499">
        <w:t>con la</w:t>
      </w:r>
      <w:r>
        <w:t xml:space="preserve"> Legge 160/2019</w:t>
      </w:r>
      <w:r w:rsidR="001E7499">
        <w:t>,</w:t>
      </w:r>
      <w:r>
        <w:t xml:space="preserve"> </w:t>
      </w:r>
      <w:r w:rsidR="001E7499">
        <w:t>in sostituzione de</w:t>
      </w:r>
      <w:r>
        <w:t xml:space="preserve">i precedenti prelievi dedicati al presupposto per le occupazioni di suolo pubblico e </w:t>
      </w:r>
      <w:r w:rsidR="001E7499">
        <w:t>al</w:t>
      </w:r>
      <w:r>
        <w:t>le diffusioni pubblicitarie.</w:t>
      </w:r>
    </w:p>
    <w:p w14:paraId="4D85608A" w14:textId="510AECA9" w:rsidR="00B748E6" w:rsidRDefault="00B748E6" w:rsidP="00B748E6">
      <w:pPr>
        <w:jc w:val="both"/>
      </w:pPr>
      <w:r>
        <w:t xml:space="preserve">La figura del Pubblico Ufficiale diventa, molto più di quanto avveniva con le precedenti entrate, fondamentale nell’attività di rilevazione sul territorio in ordine ad occupazioni ed esposizioni pubblicitarie realizzate senza titolo o in modo difforme rispetto al provvedimento amministrativo rilasciato dall’ente competente. </w:t>
      </w:r>
    </w:p>
    <w:p w14:paraId="27C3CDB3" w14:textId="7F2AC275" w:rsidR="00060149" w:rsidRDefault="00B748E6" w:rsidP="002D752E">
      <w:pPr>
        <w:jc w:val="both"/>
      </w:pPr>
      <w:r>
        <w:t xml:space="preserve">Vengono individuate le figure professionali che, nell’ambito degli Enti </w:t>
      </w:r>
      <w:r w:rsidR="002D752E">
        <w:t>locali, presentano</w:t>
      </w:r>
      <w:r>
        <w:t xml:space="preserve"> le caratteristiche idonee a svolgere </w:t>
      </w:r>
      <w:r w:rsidR="002D752E">
        <w:t>queste</w:t>
      </w:r>
      <w:r>
        <w:t xml:space="preserve"> funzioni</w:t>
      </w:r>
      <w:r w:rsidR="002D752E">
        <w:t xml:space="preserve"> di controllo</w:t>
      </w:r>
      <w:r>
        <w:t>, con particolare approfondimento per l’Accertatore delle Entrate, figura introdotta dal Legislatore con</w:t>
      </w:r>
      <w:r w:rsidR="002D752E">
        <w:t xml:space="preserve"> il comma 179 del</w:t>
      </w:r>
      <w:r>
        <w:t>la Legge Finanziaria del 2007 con specific</w:t>
      </w:r>
      <w:r w:rsidR="002D752E">
        <w:t>i</w:t>
      </w:r>
      <w:r>
        <w:t xml:space="preserve"> </w:t>
      </w:r>
      <w:r w:rsidR="002D752E" w:rsidRPr="002D752E">
        <w:t>poteri di accertamento</w:t>
      </w:r>
      <w:r w:rsidR="002D752E">
        <w:t xml:space="preserve"> </w:t>
      </w:r>
      <w:r w:rsidR="002D752E" w:rsidRPr="002D752E">
        <w:t>per le violazioni relative alle entrate</w:t>
      </w:r>
      <w:r w:rsidR="002D752E">
        <w:t xml:space="preserve"> di comuni e province.</w:t>
      </w:r>
    </w:p>
    <w:sectPr w:rsidR="0006014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8E6"/>
    <w:rsid w:val="00060149"/>
    <w:rsid w:val="001E7499"/>
    <w:rsid w:val="002D752E"/>
    <w:rsid w:val="005771B1"/>
    <w:rsid w:val="007B1496"/>
    <w:rsid w:val="00B748E6"/>
    <w:rsid w:val="00BB762F"/>
    <w:rsid w:val="00C8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53FAF"/>
  <w15:chartTrackingRefBased/>
  <w15:docId w15:val="{2B289354-9C2E-443C-A3CD-533B067E1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74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74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74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74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74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74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74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74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74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74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74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74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748E6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748E6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748E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748E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748E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748E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74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74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74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74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74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748E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748E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748E6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74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748E6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748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3</cp:revision>
  <dcterms:created xsi:type="dcterms:W3CDTF">2025-05-20T06:17:00Z</dcterms:created>
  <dcterms:modified xsi:type="dcterms:W3CDTF">2025-05-20T10:53:00Z</dcterms:modified>
</cp:coreProperties>
</file>