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6DF51" w14:textId="77777777" w:rsidR="00B547EA" w:rsidRDefault="00B547EA" w:rsidP="00B547EA">
      <w:pPr>
        <w:jc w:val="both"/>
      </w:pPr>
      <w:r>
        <w:t>Quesito:</w:t>
      </w:r>
      <w:r>
        <w:br/>
        <w:t xml:space="preserve">Buongiorno, un ente nelle attività di controllo, si è accorto che diversi esercizi commerciali, hanno occupato senza </w:t>
      </w:r>
      <w:r>
        <w:t>la prescritta</w:t>
      </w:r>
      <w:r>
        <w:t xml:space="preserve"> autorizzazione spazi ed aree pubbliche. Posto che non è intenzione dell'amministrazione procedere con la rimazione delle strutture dato l'avvicinarsi della bella stagione, quali sono le possibilità di recupero delle somme non percepite?</w:t>
      </w:r>
    </w:p>
    <w:p w14:paraId="271712FD" w14:textId="77777777" w:rsidR="00B547EA" w:rsidRDefault="00B547EA" w:rsidP="00B547EA">
      <w:pPr>
        <w:jc w:val="both"/>
      </w:pPr>
    </w:p>
    <w:p w14:paraId="55063ACF" w14:textId="491F1A54" w:rsidR="00B547EA" w:rsidRDefault="00B547EA" w:rsidP="00B547EA">
      <w:pPr>
        <w:jc w:val="both"/>
      </w:pPr>
      <w:r>
        <w:t>Innanzi tutto è necessario procedere ad una rilevazione puntuale delle occupazioni in essere. Rilevazione e verbalizzazione che dovr</w:t>
      </w:r>
      <w:r w:rsidR="004B0CFC">
        <w:t>à</w:t>
      </w:r>
      <w:r>
        <w:t xml:space="preserve"> avvenire per mezzo di un pubblico ufficiale, ovvero</w:t>
      </w:r>
      <w:r w:rsidR="00F0661A">
        <w:t xml:space="preserve"> </w:t>
      </w:r>
      <w:r w:rsidR="0099286D">
        <w:t xml:space="preserve">tramite </w:t>
      </w:r>
      <w:r>
        <w:t xml:space="preserve">agente di Polizia Municipale o </w:t>
      </w:r>
      <w:r w:rsidR="00F0661A">
        <w:t xml:space="preserve">di </w:t>
      </w:r>
      <w:r>
        <w:t>Accertatore delle Entrate, figura istituita dal comma 179 dell’articolo 1 della Legge 296 del 2006</w:t>
      </w:r>
      <w:r w:rsidR="0099286D">
        <w:t>,</w:t>
      </w:r>
      <w:r w:rsidR="004B0CFC">
        <w:t xml:space="preserve"> dedicata proprio alle rilevazioni</w:t>
      </w:r>
      <w:r w:rsidR="0099286D">
        <w:t xml:space="preserve"> di Comuni e Province, con </w:t>
      </w:r>
      <w:r w:rsidR="0099286D" w:rsidRPr="0099286D">
        <w:t>poteri di accertamento, di contestazione immediata, nonché di redazione e di sottoscrizione del processo verbale di accertamento per le violazioni relative alle proprie entrate e per quelle che si verificano sul proprio territorio</w:t>
      </w:r>
      <w:r w:rsidR="0099286D">
        <w:t>.</w:t>
      </w:r>
      <w:r>
        <w:t xml:space="preserve"> </w:t>
      </w:r>
    </w:p>
    <w:p w14:paraId="7C9AC038" w14:textId="50B1913F" w:rsidR="00B547EA" w:rsidRDefault="00B547EA" w:rsidP="00B547EA">
      <w:pPr>
        <w:jc w:val="both"/>
      </w:pPr>
      <w:r>
        <w:t xml:space="preserve">Nella rilevazione sarà importante raccogliere tutti gli elementi che saranno necessari per il conteggio del canone, o meglio dell’indennità, che dovrà essere </w:t>
      </w:r>
      <w:r w:rsidR="0099286D">
        <w:t>richiesta</w:t>
      </w:r>
      <w:r>
        <w:t xml:space="preserve"> all’occupante di fatto. Questi elementi sono: la superficie espressa in metri quadrati</w:t>
      </w:r>
      <w:r w:rsidR="0099286D">
        <w:t xml:space="preserve"> dell’occupazione,</w:t>
      </w:r>
      <w:r>
        <w:t xml:space="preserve"> l’ubicazione, la tipologia e la </w:t>
      </w:r>
      <w:r w:rsidR="0099286D">
        <w:t xml:space="preserve">sua </w:t>
      </w:r>
      <w:r>
        <w:t>finalità</w:t>
      </w:r>
      <w:r w:rsidR="0099286D">
        <w:t>,</w:t>
      </w:r>
      <w:r>
        <w:t xml:space="preserve"> oltre che l’identificazione se si tratta di un’occupazione di natura stabile o di natura temporanea. Quest’ultimo elemento sarà dirimente per capire quale calcolo adottare nella nostra richiesta. Il base al comma 821 della Legge 160/2019 lettera G, in caso di occupazione abusiva saranno considerate</w:t>
      </w:r>
      <w:r>
        <w:t xml:space="preserve"> permanenti le occupazioni realizzate</w:t>
      </w:r>
      <w:r>
        <w:t xml:space="preserve"> </w:t>
      </w:r>
      <w:r>
        <w:t>con manufatti di carattere</w:t>
      </w:r>
      <w:r>
        <w:t xml:space="preserve"> </w:t>
      </w:r>
      <w:r>
        <w:t>stabile e presumendo come temporanee</w:t>
      </w:r>
      <w:r>
        <w:t xml:space="preserve"> </w:t>
      </w:r>
      <w:r>
        <w:t>le occupazioni effettuate dal trentesimo</w:t>
      </w:r>
      <w:r>
        <w:t xml:space="preserve"> </w:t>
      </w:r>
      <w:r>
        <w:t>giorno antecedente la data del verbale di</w:t>
      </w:r>
      <w:r>
        <w:t xml:space="preserve"> </w:t>
      </w:r>
      <w:r>
        <w:t>accertamento</w:t>
      </w:r>
      <w:r>
        <w:t>.</w:t>
      </w:r>
    </w:p>
    <w:p w14:paraId="5F8C0C2B" w14:textId="7732890F" w:rsidR="00F339EA" w:rsidRDefault="00F339EA" w:rsidP="00B547EA">
      <w:pPr>
        <w:jc w:val="both"/>
      </w:pPr>
      <w:r>
        <w:t>Una volta disponibili gli elementi sopra richiamati, si potrà procedere al calcolo del dovuto, applicando l’indennità al posto del canone, considerato che l’occupazione è di fatto abusiva, ovvero realizzata senza titolo amministrativo.</w:t>
      </w:r>
      <w:r w:rsidR="0099286D">
        <w:t xml:space="preserve"> Per le occupazioni valutate come stabili, si potrà calcolare l’indennità partendo dalla tariffa standard annuale definita ad anno solare, per le occupazioni di carattere temporaneo si procederà al calcolo utilizzando la tariffa giornaliera e calcolata per 30 giorni antecedenti la data del verbale di contestazione.</w:t>
      </w:r>
    </w:p>
    <w:p w14:paraId="76730E4A" w14:textId="766CBF33" w:rsidR="00F339EA" w:rsidRDefault="00F339EA" w:rsidP="00B547EA">
      <w:pPr>
        <w:jc w:val="both"/>
      </w:pPr>
      <w:r>
        <w:t xml:space="preserve">La richiesta di pagamento dovrà essere effettuata a mezzo </w:t>
      </w:r>
      <w:r w:rsidR="0099286D">
        <w:t>A</w:t>
      </w:r>
      <w:r>
        <w:t xml:space="preserve">vviso di accertamento esecutivo ex comma 792 dell’articolo 1 della Legge 160/2019, che prevede anche per le entrate patrimoniali la possibilità per gli enti locali di contestare </w:t>
      </w:r>
      <w:r w:rsidR="002F5C11">
        <w:t xml:space="preserve">con atti esecutivi </w:t>
      </w:r>
      <w:r>
        <w:t>le violazioni commesse in ambito di proprie entrate.</w:t>
      </w:r>
      <w:r w:rsidR="0099286D">
        <w:t xml:space="preserve"> </w:t>
      </w:r>
    </w:p>
    <w:p w14:paraId="59AEFDC4" w14:textId="12CF20D1" w:rsidR="00F339EA" w:rsidRDefault="00F339EA" w:rsidP="00B547EA">
      <w:pPr>
        <w:jc w:val="both"/>
      </w:pPr>
      <w:r>
        <w:t xml:space="preserve">Nel caso specifico l’avviso di accertamento conterrà il calcolo dell’indennità (la </w:t>
      </w:r>
      <w:r w:rsidR="005537E7">
        <w:t>l</w:t>
      </w:r>
      <w:r>
        <w:t xml:space="preserve">egge concede ai Comuni di definirla in sede regolamentare in misura pari al canone maggiorato fino al 50%), della sanzione amministrativa definita e regolata dalla lettera H del comma 821, oltre che </w:t>
      </w:r>
      <w:r w:rsidR="005537E7">
        <w:t>de</w:t>
      </w:r>
      <w:r>
        <w:t xml:space="preserve">gli interessi </w:t>
      </w:r>
      <w:r w:rsidR="005537E7">
        <w:t xml:space="preserve">maturati </w:t>
      </w:r>
      <w:r>
        <w:t xml:space="preserve">e </w:t>
      </w:r>
      <w:r w:rsidR="005537E7">
        <w:t>del</w:t>
      </w:r>
      <w:r>
        <w:t xml:space="preserve">le spese dovute per l’attività di </w:t>
      </w:r>
      <w:r w:rsidR="005537E7">
        <w:t>notificazione</w:t>
      </w:r>
      <w:r>
        <w:t>.</w:t>
      </w:r>
    </w:p>
    <w:p w14:paraId="77FD01D0" w14:textId="06C2241E" w:rsidR="00F339EA" w:rsidRDefault="002F5C11" w:rsidP="00B547EA">
      <w:pPr>
        <w:jc w:val="both"/>
      </w:pPr>
      <w:r>
        <w:t>Al provvedimento</w:t>
      </w:r>
      <w:r w:rsidR="00F339EA">
        <w:t xml:space="preserve"> verrà allegato il verbale di </w:t>
      </w:r>
      <w:r>
        <w:t>accertamento</w:t>
      </w:r>
      <w:r w:rsidR="00F339EA">
        <w:t xml:space="preserve"> sottoscritto dal pubblico ufficiale che l’ha redatto e che ha rilevato la presenza sul territorio l’occupazione realizzata senza la preventiva concessione di suolo pubblico.</w:t>
      </w:r>
      <w:r w:rsidR="0017440D">
        <w:t xml:space="preserve"> </w:t>
      </w:r>
    </w:p>
    <w:p w14:paraId="019419E0" w14:textId="4531CBE9" w:rsidR="00F339EA" w:rsidRDefault="0017440D" w:rsidP="00B547EA">
      <w:pPr>
        <w:jc w:val="both"/>
      </w:pPr>
      <w:r>
        <w:t>È bene precisare che o</w:t>
      </w:r>
      <w:r w:rsidR="00F339EA">
        <w:t>ltre al recupero del canone non versato sotto forma di indennità e sanzione pecuniaria, sarà dovuta anche la sanzione elevata dalla Polizia Municipale ai sensi dell’articolo 20 del Codice della Strada, sanzione specificatamente prevista per le occupazioni di suolo pubblico realizzate abusivamente.</w:t>
      </w:r>
    </w:p>
    <w:p w14:paraId="1577B139" w14:textId="173F1A17" w:rsidR="00506336" w:rsidRDefault="00F339EA" w:rsidP="00B547EA">
      <w:pPr>
        <w:jc w:val="both"/>
      </w:pPr>
      <w:r>
        <w:t>Questo</w:t>
      </w:r>
      <w:r w:rsidR="0017440D">
        <w:t xml:space="preserve"> </w:t>
      </w:r>
      <w:r w:rsidR="00A10E27">
        <w:t xml:space="preserve">appena descritto è, </w:t>
      </w:r>
      <w:r w:rsidR="0017440D">
        <w:t>a grandi linee</w:t>
      </w:r>
      <w:r w:rsidR="00A10E27">
        <w:t>,</w:t>
      </w:r>
      <w:r>
        <w:t xml:space="preserve"> l’iter corretto e completo per il recupero del CUP in occasione di occupazioni di suolo pubblico realizzate senza titolo. </w:t>
      </w:r>
    </w:p>
    <w:p w14:paraId="00C94D4D" w14:textId="0FA8989B" w:rsidR="004B0CFC" w:rsidRDefault="00F339EA" w:rsidP="00B547EA">
      <w:pPr>
        <w:jc w:val="both"/>
      </w:pPr>
      <w:r>
        <w:t xml:space="preserve">Esiste anche la possibilità </w:t>
      </w:r>
      <w:r w:rsidR="00506336">
        <w:t xml:space="preserve">residuale </w:t>
      </w:r>
      <w:r>
        <w:t xml:space="preserve">di procedere al recupero basando la propria rilevazione su territorio su rilievi effettuati da personale incaricato sprovvisto del titolo di pubblico ufficiale. L’attività </w:t>
      </w:r>
      <w:r w:rsidR="00175C9B">
        <w:t xml:space="preserve">di accertamento e recupero del canone </w:t>
      </w:r>
      <w:r w:rsidR="0017440D">
        <w:t xml:space="preserve">in questo caso </w:t>
      </w:r>
      <w:r>
        <w:t xml:space="preserve">sarà comunque adottabile con tutti i limiti di un </w:t>
      </w:r>
      <w:r w:rsidR="00175C9B">
        <w:t>recupero</w:t>
      </w:r>
      <w:r>
        <w:t xml:space="preserve"> basato su una </w:t>
      </w:r>
      <w:r>
        <w:lastRenderedPageBreak/>
        <w:t xml:space="preserve">rilevazione che non costituisce, in sede di contenzioso o contraddittorio, verbale di accertamento </w:t>
      </w:r>
      <w:r w:rsidR="00A10E27">
        <w:t>facente</w:t>
      </w:r>
      <w:r>
        <w:t xml:space="preserve"> fede fino a querela di falso</w:t>
      </w:r>
      <w:r w:rsidR="00506336">
        <w:t>, così come previsto dall’articolo 2700 del Codice Civile</w:t>
      </w:r>
      <w:r>
        <w:t>.</w:t>
      </w:r>
      <w:r w:rsidR="00175C9B">
        <w:t xml:space="preserve"> Per questo si consiglia di adottare, ove </w:t>
      </w:r>
      <w:r w:rsidR="00A10E27">
        <w:t>possibile, la</w:t>
      </w:r>
      <w:r w:rsidR="00175C9B">
        <w:t xml:space="preserve"> procedura descritta con l’utilizzo di una figura di Pubblico Ufficiale che verbalizzi la presenza delle occupazioni e ne definisca </w:t>
      </w:r>
      <w:r w:rsidR="00A10E27">
        <w:t xml:space="preserve">correttamente </w:t>
      </w:r>
      <w:r w:rsidR="00175C9B">
        <w:t>tipologia e superficie. Sul tema si rimanda al recente approfondimento pubblicato sulla piattaforma Smart24 “</w:t>
      </w:r>
      <w:r w:rsidR="00175C9B" w:rsidRPr="00175C9B">
        <w:t>Il ruolo del Pubblico Ufficiale nella disciplina del CUP</w:t>
      </w:r>
      <w:r w:rsidR="00175C9B">
        <w:t>”</w:t>
      </w:r>
      <w:r w:rsidR="000B76C9">
        <w:t>.</w:t>
      </w:r>
    </w:p>
    <w:p w14:paraId="5EDDDC98" w14:textId="275AC456" w:rsidR="004B0CFC" w:rsidRDefault="004B0CFC" w:rsidP="00B547EA">
      <w:pPr>
        <w:jc w:val="both"/>
      </w:pPr>
      <w:hyperlink r:id="rId4" w:history="1">
        <w:r w:rsidRPr="00642C95">
          <w:rPr>
            <w:rStyle w:val="Collegamentoipertestuale"/>
          </w:rPr>
          <w:t>https://mydesk24.ilsole24ore.com/smart24tributilocali?iddoc=39956507#/showdoc/39956507/?ref=notizie_del_giorno_tributi_interno-tributi_interno</w:t>
        </w:r>
      </w:hyperlink>
    </w:p>
    <w:p w14:paraId="4F4ED94F" w14:textId="7DB68A20" w:rsidR="00F339EA" w:rsidRDefault="00175C9B" w:rsidP="00B547EA">
      <w:pPr>
        <w:jc w:val="both"/>
      </w:pPr>
      <w:r>
        <w:t xml:space="preserve"> </w:t>
      </w:r>
    </w:p>
    <w:p w14:paraId="4BD90F5D" w14:textId="77777777" w:rsidR="00175C9B" w:rsidRDefault="00175C9B" w:rsidP="00B547EA">
      <w:pPr>
        <w:jc w:val="both"/>
      </w:pPr>
    </w:p>
    <w:p w14:paraId="71AB26EB" w14:textId="4FFECA11" w:rsidR="00060149" w:rsidRDefault="00B547EA" w:rsidP="00B547EA">
      <w:pPr>
        <w:jc w:val="both"/>
      </w:pPr>
      <w:r>
        <w:br/>
      </w:r>
    </w:p>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B2"/>
    <w:rsid w:val="000018B2"/>
    <w:rsid w:val="00060149"/>
    <w:rsid w:val="000B76C9"/>
    <w:rsid w:val="0017440D"/>
    <w:rsid w:val="00175C9B"/>
    <w:rsid w:val="002F5C11"/>
    <w:rsid w:val="004B0CFC"/>
    <w:rsid w:val="00506336"/>
    <w:rsid w:val="005537E7"/>
    <w:rsid w:val="0099286D"/>
    <w:rsid w:val="00A10E27"/>
    <w:rsid w:val="00B547EA"/>
    <w:rsid w:val="00F0661A"/>
    <w:rsid w:val="00F339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8BF5"/>
  <w15:chartTrackingRefBased/>
  <w15:docId w15:val="{F3B12C9B-6CEE-4CF4-9AC0-C27049C0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4B0CFC"/>
    <w:rPr>
      <w:color w:val="0563C1" w:themeColor="hyperlink"/>
      <w:u w:val="single"/>
    </w:rPr>
  </w:style>
  <w:style w:type="character" w:styleId="Menzionenonrisolta">
    <w:name w:val="Unresolved Mention"/>
    <w:basedOn w:val="Carpredefinitoparagrafo"/>
    <w:uiPriority w:val="99"/>
    <w:semiHidden/>
    <w:unhideWhenUsed/>
    <w:rsid w:val="004B0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4510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ydesk24.ilsole24ore.com/smart24tributilocali?iddoc=39956507#/showdoc/39956507/?ref=notizie_del_giorno_tributi_interno-tributi_interno"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741</Words>
  <Characters>4225</Characters>
  <Application>Microsoft Office Word</Application>
  <DocSecurity>0</DocSecurity>
  <Lines>35</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2023-04-13T06:05:00Z</dcterms:created>
  <dcterms:modified xsi:type="dcterms:W3CDTF">2023-04-13T07:44:00Z</dcterms:modified>
</cp:coreProperties>
</file>