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B7777" w14:textId="77777777" w:rsidR="00974F6F" w:rsidRPr="00974F6F" w:rsidRDefault="00974F6F" w:rsidP="00974F6F">
      <w:pPr>
        <w:spacing w:before="100" w:beforeAutospacing="1" w:after="100" w:afterAutospacing="1"/>
        <w:rPr>
          <w:b/>
          <w:bCs/>
          <w:color w:val="1F497D"/>
        </w:rPr>
      </w:pPr>
      <w:r w:rsidRPr="00974F6F">
        <w:rPr>
          <w:b/>
          <w:bCs/>
          <w:color w:val="1F497D"/>
        </w:rPr>
        <w:t>QUESITO</w:t>
      </w:r>
    </w:p>
    <w:p w14:paraId="58AB5428" w14:textId="7C314831" w:rsidR="00974F6F" w:rsidRDefault="00974F6F" w:rsidP="00974F6F">
      <w:pPr>
        <w:spacing w:before="100" w:beforeAutospacing="1" w:after="100" w:afterAutospacing="1"/>
      </w:pPr>
      <w:r>
        <w:rPr>
          <w:color w:val="1F497D"/>
        </w:rPr>
        <w:t xml:space="preserve">Posto che il rinnovo non costituisce nuova concessione e che il versamento è dovuto per anno solare, sono a richiedere se, il calcolo del canone – tributo - dovuto per un diverso anno solare (2024) debba essere effettuato considerando già il periodo autorizzato o ripartendo ex novo. </w:t>
      </w:r>
    </w:p>
    <w:p w14:paraId="052A9313" w14:textId="1212C6DB" w:rsidR="00974F6F" w:rsidRDefault="00974F6F" w:rsidP="00974F6F">
      <w:pPr>
        <w:spacing w:before="100" w:beforeAutospacing="1" w:after="100" w:afterAutospacing="1"/>
      </w:pPr>
      <w:r>
        <w:rPr>
          <w:color w:val="1F497D"/>
        </w:rPr>
        <w:t xml:space="preserve">  Es: tariffe: primi 14 gg € 0,95; successivi 15 gg € 0,67 e oltre 30 gg € 0,34. </w:t>
      </w:r>
    </w:p>
    <w:p w14:paraId="4D58F673" w14:textId="77777777" w:rsidR="00974F6F" w:rsidRDefault="00974F6F" w:rsidP="00974F6F">
      <w:pPr>
        <w:spacing w:before="100" w:beforeAutospacing="1" w:after="100" w:afterAutospacing="1"/>
      </w:pPr>
      <w:r>
        <w:rPr>
          <w:color w:val="1F497D"/>
        </w:rPr>
        <w:t xml:space="preserve">1^ concessione scaduta al 31.12.2023 </w:t>
      </w:r>
    </w:p>
    <w:p w14:paraId="68F37C9B" w14:textId="77777777" w:rsidR="00974F6F" w:rsidRDefault="00974F6F" w:rsidP="00974F6F">
      <w:pPr>
        <w:spacing w:before="100" w:beforeAutospacing="1" w:after="100" w:afterAutospacing="1"/>
      </w:pPr>
      <w:r>
        <w:rPr>
          <w:color w:val="1F497D"/>
        </w:rPr>
        <w:t xml:space="preserve">rinnovo 1.1.2024-30.06.2024. </w:t>
      </w:r>
    </w:p>
    <w:p w14:paraId="6000368D" w14:textId="77777777" w:rsidR="00974F6F" w:rsidRDefault="00974F6F" w:rsidP="00974F6F">
      <w:pPr>
        <w:spacing w:before="100" w:beforeAutospacing="1" w:after="100" w:afterAutospacing="1"/>
      </w:pPr>
      <w:r>
        <w:rPr>
          <w:color w:val="1F497D"/>
        </w:rPr>
        <w:t xml:space="preserve">il canone va calcolato come sopra oppure deve essere applicata la tariffa € 0,34 (oltre 30 gg)? </w:t>
      </w:r>
    </w:p>
    <w:p w14:paraId="03399CD0" w14:textId="77777777" w:rsidR="00974F6F" w:rsidRDefault="00974F6F" w:rsidP="00974F6F">
      <w:pPr>
        <w:spacing w:before="100" w:beforeAutospacing="1" w:after="100" w:afterAutospacing="1"/>
        <w:rPr>
          <w:color w:val="1F497D"/>
        </w:rPr>
      </w:pPr>
      <w:r>
        <w:rPr>
          <w:color w:val="1F497D"/>
        </w:rPr>
        <w:t xml:space="preserve">La norma non è chiara in proposito stabilisce solo che il conteggio deve essere effettuato in funzione dei mq, dei giorni, della tariffa. </w:t>
      </w:r>
    </w:p>
    <w:p w14:paraId="05A53666" w14:textId="77777777" w:rsidR="00974F6F" w:rsidRDefault="00974F6F" w:rsidP="00974F6F">
      <w:pPr>
        <w:spacing w:before="100" w:beforeAutospacing="1" w:after="100" w:afterAutospacing="1"/>
        <w:rPr>
          <w:color w:val="1F497D"/>
        </w:rPr>
      </w:pPr>
    </w:p>
    <w:p w14:paraId="4DEA1DD6" w14:textId="1BAB5218" w:rsidR="00974F6F" w:rsidRPr="00974F6F" w:rsidRDefault="00974F6F" w:rsidP="00974F6F">
      <w:pPr>
        <w:spacing w:before="100" w:beforeAutospacing="1" w:after="100" w:afterAutospacing="1"/>
        <w:rPr>
          <w:b/>
          <w:bCs/>
          <w:color w:val="1F497D"/>
        </w:rPr>
      </w:pPr>
      <w:r w:rsidRPr="00974F6F">
        <w:rPr>
          <w:b/>
          <w:bCs/>
          <w:color w:val="1F497D"/>
        </w:rPr>
        <w:t>RISPOSTA</w:t>
      </w:r>
    </w:p>
    <w:p w14:paraId="688A004A" w14:textId="26E88649" w:rsidR="00974F6F" w:rsidRDefault="00974F6F" w:rsidP="00974F6F">
      <w:pPr>
        <w:spacing w:before="100" w:beforeAutospacing="1" w:after="100" w:afterAutospacing="1"/>
        <w:jc w:val="both"/>
        <w:rPr>
          <w:color w:val="1F497D"/>
        </w:rPr>
      </w:pPr>
      <w:r>
        <w:rPr>
          <w:color w:val="1F497D"/>
        </w:rPr>
        <w:t>Il quesito posto è molto interessante perché pone l’attenzione su una problematica diffusa che riguarda la nuova entrata</w:t>
      </w:r>
      <w:r w:rsidR="009C1E84">
        <w:rPr>
          <w:color w:val="1F497D"/>
        </w:rPr>
        <w:t>,</w:t>
      </w:r>
      <w:r>
        <w:rPr>
          <w:color w:val="1F497D"/>
        </w:rPr>
        <w:t xml:space="preserve"> introdotta </w:t>
      </w:r>
      <w:r w:rsidR="009C1E84">
        <w:rPr>
          <w:color w:val="1F497D"/>
        </w:rPr>
        <w:t xml:space="preserve">dal Legislatore </w:t>
      </w:r>
      <w:r>
        <w:rPr>
          <w:color w:val="1F497D"/>
        </w:rPr>
        <w:t>a partire dal 2021</w:t>
      </w:r>
      <w:r w:rsidR="009C1E84">
        <w:rPr>
          <w:color w:val="1F497D"/>
        </w:rPr>
        <w:t>,</w:t>
      </w:r>
      <w:r>
        <w:rPr>
          <w:color w:val="1F497D"/>
        </w:rPr>
        <w:t xml:space="preserve"> in sostituzione dei precedenti prelievi dedicati alle occupazioni di suolo pubblico e alle diffusioni pubblicitarie.</w:t>
      </w:r>
    </w:p>
    <w:p w14:paraId="14AA730D" w14:textId="5B83F28C" w:rsidR="00974F6F" w:rsidRPr="00974F6F" w:rsidRDefault="00974F6F" w:rsidP="00974F6F">
      <w:pPr>
        <w:jc w:val="both"/>
        <w:rPr>
          <w:i/>
          <w:iCs/>
          <w:color w:val="1F497D"/>
        </w:rPr>
      </w:pPr>
      <w:r>
        <w:rPr>
          <w:color w:val="1F497D"/>
        </w:rPr>
        <w:t>La disciplina del Canone Unico vede nel Regolamento Comunale lo strumento di gestione che deve (dovrebbe) dettare tutti i meccanismi per permettere la corretta liquidazione e in generale la corretta gestione del prelievo. La normativa che ha introdotto la nuova entrata si limita a dare delle regole di carattere generale senza definire ad esempio i criteri di calcolo. Correttamente infatti avete sottolineato come il Legislatore con il comma 82</w:t>
      </w:r>
      <w:r w:rsidR="009C1E84">
        <w:rPr>
          <w:color w:val="1F497D"/>
        </w:rPr>
        <w:t>4</w:t>
      </w:r>
      <w:r>
        <w:rPr>
          <w:color w:val="1F497D"/>
        </w:rPr>
        <w:t xml:space="preserve"> si sia limitato a definire il canone per le occupazioni suolo pubblico in base ai </w:t>
      </w:r>
      <w:r w:rsidR="009C1E84">
        <w:rPr>
          <w:color w:val="1F497D"/>
        </w:rPr>
        <w:t>ad alcuni</w:t>
      </w:r>
      <w:r>
        <w:rPr>
          <w:color w:val="1F497D"/>
        </w:rPr>
        <w:t xml:space="preserve"> elementi, senza tuttavia fissare delle regole </w:t>
      </w:r>
      <w:r w:rsidR="009C1E84">
        <w:rPr>
          <w:color w:val="1F497D"/>
        </w:rPr>
        <w:t xml:space="preserve">di calcolo </w:t>
      </w:r>
      <w:r>
        <w:rPr>
          <w:color w:val="1F497D"/>
        </w:rPr>
        <w:t xml:space="preserve">univoche per tutti gli enti chiamati a </w:t>
      </w:r>
      <w:r w:rsidR="009C1E84">
        <w:rPr>
          <w:color w:val="1F497D"/>
        </w:rPr>
        <w:t>riscuotere</w:t>
      </w:r>
      <w:r>
        <w:rPr>
          <w:color w:val="1F497D"/>
        </w:rPr>
        <w:t xml:space="preserve"> l’entrata. Nel comma leggiamo: </w:t>
      </w:r>
      <w:r w:rsidRPr="00974F6F">
        <w:rPr>
          <w:i/>
          <w:iCs/>
          <w:color w:val="1F497D"/>
        </w:rPr>
        <w:t>“824. Per le occupazioni di cui al comma 819, lettera a), il canone è determinato, in base alla durata, alla superficie, espressa in metri quadrati, alla tipologia e alle finalità,</w:t>
      </w:r>
    </w:p>
    <w:p w14:paraId="03E5DA66" w14:textId="1ED3DC7B" w:rsidR="00060149" w:rsidRDefault="00974F6F" w:rsidP="00974F6F">
      <w:pPr>
        <w:jc w:val="both"/>
        <w:rPr>
          <w:i/>
          <w:iCs/>
          <w:color w:val="1F497D"/>
        </w:rPr>
      </w:pPr>
      <w:r w:rsidRPr="00974F6F">
        <w:rPr>
          <w:i/>
          <w:iCs/>
          <w:color w:val="1F497D"/>
        </w:rPr>
        <w:t>alla zona occupata del territorio comunale o provinciale o della città metropolitana in cui è effettuata l’occupazione…”</w:t>
      </w:r>
      <w:r>
        <w:rPr>
          <w:i/>
          <w:iCs/>
          <w:color w:val="1F497D"/>
        </w:rPr>
        <w:t>.</w:t>
      </w:r>
    </w:p>
    <w:p w14:paraId="41289A24" w14:textId="77777777" w:rsidR="00974F6F" w:rsidRPr="00974F6F" w:rsidRDefault="00974F6F" w:rsidP="00974F6F">
      <w:pPr>
        <w:jc w:val="both"/>
        <w:rPr>
          <w:color w:val="1F497D"/>
        </w:rPr>
      </w:pPr>
    </w:p>
    <w:p w14:paraId="52A1C0D1" w14:textId="77777777" w:rsidR="00F7187F" w:rsidRDefault="00974F6F" w:rsidP="00974F6F">
      <w:pPr>
        <w:jc w:val="both"/>
        <w:rPr>
          <w:color w:val="1F497D"/>
        </w:rPr>
      </w:pPr>
      <w:r>
        <w:rPr>
          <w:color w:val="1F497D"/>
        </w:rPr>
        <w:t xml:space="preserve">La risposta al quesito non potrà quindi </w:t>
      </w:r>
      <w:r w:rsidR="009C1E84">
        <w:rPr>
          <w:color w:val="1F497D"/>
        </w:rPr>
        <w:t xml:space="preserve">mai </w:t>
      </w:r>
      <w:r>
        <w:rPr>
          <w:color w:val="1F497D"/>
        </w:rPr>
        <w:t xml:space="preserve">essere univoca per tutte le realtà del nostro </w:t>
      </w:r>
      <w:r w:rsidR="00541D04">
        <w:rPr>
          <w:color w:val="1F497D"/>
        </w:rPr>
        <w:t>Paese.</w:t>
      </w:r>
      <w:r w:rsidR="009C1E84">
        <w:rPr>
          <w:color w:val="1F497D"/>
        </w:rPr>
        <w:t xml:space="preserve"> Molti Regolamenti comunali hanno bypassato le problematiche </w:t>
      </w:r>
      <w:r w:rsidR="00F7187F">
        <w:rPr>
          <w:color w:val="1F497D"/>
        </w:rPr>
        <w:t>vissute con le tariffe che variavano in base alla durata dell’occupazioni. Il meccanismo di riduzione tariffaria, per occupazioni con durata superiore a 15 giorni e a 30 giorni, appartiene ad una logica TOSAP, che si ritiene superata e superabile con una disciplina CUP più aderente alle esigenze di semplificazione e di maggior rispetto dei principi che valutano il  valore dell’area e il sacrificio imposto alla collettività per la presenza su suolo pubblico di un’occupazione. In questo senso che significato dare ad una agevolazione tariffaria ad una occupazione che insiste su suolo pubblico per un periodo lungo? O che si protrae oltre il tempo necessario?</w:t>
      </w:r>
    </w:p>
    <w:p w14:paraId="15406567" w14:textId="77777777" w:rsidR="00F7187F" w:rsidRDefault="00F7187F" w:rsidP="00974F6F">
      <w:pPr>
        <w:jc w:val="both"/>
        <w:rPr>
          <w:color w:val="1F497D"/>
        </w:rPr>
      </w:pPr>
    </w:p>
    <w:p w14:paraId="575A1F3F" w14:textId="6170B8AF" w:rsidR="00974F6F" w:rsidRDefault="00F7187F" w:rsidP="00974F6F">
      <w:pPr>
        <w:jc w:val="both"/>
        <w:rPr>
          <w:color w:val="1F497D"/>
        </w:rPr>
      </w:pPr>
      <w:r>
        <w:rPr>
          <w:color w:val="1F497D"/>
        </w:rPr>
        <w:t>Dalla lettura del quesito, si ipotizza che l’impianto tariffario del Vostro Comune preved</w:t>
      </w:r>
      <w:r w:rsidR="003573CC">
        <w:rPr>
          <w:color w:val="1F497D"/>
        </w:rPr>
        <w:t>a</w:t>
      </w:r>
      <w:r>
        <w:rPr>
          <w:color w:val="1F497D"/>
        </w:rPr>
        <w:t xml:space="preserve"> questi scaglioni di tariffa. Detto che sarebbe interessante proporre una </w:t>
      </w:r>
      <w:r w:rsidR="00240BCF">
        <w:rPr>
          <w:color w:val="1F497D"/>
        </w:rPr>
        <w:t xml:space="preserve">modifica al regolamento che preveda la </w:t>
      </w:r>
      <w:r>
        <w:rPr>
          <w:color w:val="1F497D"/>
        </w:rPr>
        <w:t>rimodulazione dei criteri tariffari consent</w:t>
      </w:r>
      <w:r w:rsidR="00240BCF">
        <w:rPr>
          <w:color w:val="1F497D"/>
        </w:rPr>
        <w:t>endo</w:t>
      </w:r>
      <w:r>
        <w:rPr>
          <w:color w:val="1F497D"/>
        </w:rPr>
        <w:t xml:space="preserve"> una liquidazione più facile e di immediata comprensione anche a favore degli stessi occupanti (mantenendo</w:t>
      </w:r>
      <w:r w:rsidR="003573CC">
        <w:rPr>
          <w:color w:val="1F497D"/>
        </w:rPr>
        <w:t xml:space="preserve"> chiaramente</w:t>
      </w:r>
      <w:r>
        <w:rPr>
          <w:color w:val="1F497D"/>
        </w:rPr>
        <w:t xml:space="preserve"> inalterato il gettito),  </w:t>
      </w:r>
      <w:r w:rsidR="00240BCF">
        <w:rPr>
          <w:color w:val="1F497D"/>
        </w:rPr>
        <w:t xml:space="preserve">si ritiene che il criterio di calcolo per un’occupazione che si è protratta su suolo pubblico senza soluzione di continuità, dovrà necessariamente tenere conto anche del periodo inizialmente oggetto della concessione. </w:t>
      </w:r>
    </w:p>
    <w:p w14:paraId="561869B2" w14:textId="57D72BB8" w:rsidR="00240BCF" w:rsidRDefault="00240BCF" w:rsidP="00974F6F">
      <w:pPr>
        <w:jc w:val="both"/>
        <w:rPr>
          <w:color w:val="1F497D"/>
        </w:rPr>
      </w:pPr>
      <w:r>
        <w:rPr>
          <w:color w:val="1F497D"/>
        </w:rPr>
        <w:lastRenderedPageBreak/>
        <w:t xml:space="preserve">Non è chiaro nella domanda la natura dell’occupazione, ne la durata inizialmente concessa. Con il rinnovo l’occupazione avrà una durata </w:t>
      </w:r>
      <w:r w:rsidR="003573CC">
        <w:rPr>
          <w:color w:val="1F497D"/>
        </w:rPr>
        <w:t xml:space="preserve">complessiva </w:t>
      </w:r>
      <w:r>
        <w:rPr>
          <w:color w:val="1F497D"/>
        </w:rPr>
        <w:t>che supererà</w:t>
      </w:r>
      <w:r w:rsidR="003573CC">
        <w:rPr>
          <w:color w:val="1F497D"/>
        </w:rPr>
        <w:t xml:space="preserve"> i </w:t>
      </w:r>
      <w:r>
        <w:rPr>
          <w:color w:val="1F497D"/>
        </w:rPr>
        <w:t xml:space="preserve"> 365 giorni? </w:t>
      </w:r>
    </w:p>
    <w:p w14:paraId="70EFA6A0" w14:textId="0F71DD51" w:rsidR="00240BCF" w:rsidRDefault="00240BCF" w:rsidP="00974F6F">
      <w:pPr>
        <w:jc w:val="both"/>
        <w:rPr>
          <w:color w:val="1F497D"/>
        </w:rPr>
      </w:pPr>
      <w:r>
        <w:rPr>
          <w:color w:val="1F497D"/>
        </w:rPr>
        <w:t>È necessario ricevere maggiori precisazioni</w:t>
      </w:r>
      <w:r w:rsidR="003573CC">
        <w:rPr>
          <w:color w:val="1F497D"/>
        </w:rPr>
        <w:t xml:space="preserve"> per rispondere più specificatamente al quesito. Certo è che, se si valuta l’occupazione di tipo stabile, meritevole della tariffa permanente ad anno solare, dovranno essere richieste due annualità, quella riferita al 2023 e quella riferita al 2024. Se viceversa l’occupazione presenta caratteristiche che portano a ritenerla di natura temporanea (come ad esempio un ponteggio o un’area di cantiere) allora si dovrà considerare il canone con conteggio a giorno, applicando la tariffa prevista dal vostro regolamento  per le occupazioni di durata superiore a 30 giorni (dalla somma dei due distinti periodi).</w:t>
      </w:r>
    </w:p>
    <w:p w14:paraId="39855031" w14:textId="77777777" w:rsidR="003573CC" w:rsidRDefault="003573CC" w:rsidP="00974F6F">
      <w:pPr>
        <w:jc w:val="both"/>
        <w:rPr>
          <w:color w:val="1F497D"/>
        </w:rPr>
      </w:pPr>
    </w:p>
    <w:p w14:paraId="331EA90D" w14:textId="33B1E2C0" w:rsidR="003573CC" w:rsidRDefault="003573CC" w:rsidP="00974F6F">
      <w:pPr>
        <w:jc w:val="both"/>
        <w:rPr>
          <w:color w:val="1F497D"/>
        </w:rPr>
      </w:pPr>
      <w:r>
        <w:rPr>
          <w:color w:val="1F497D"/>
        </w:rPr>
        <w:t>Si rimane quindi a disposizione per una valutazione puntuale del caso.</w:t>
      </w:r>
    </w:p>
    <w:p w14:paraId="2C24D34C" w14:textId="77777777" w:rsidR="002A50C0" w:rsidRDefault="002A50C0" w:rsidP="00974F6F">
      <w:pPr>
        <w:jc w:val="both"/>
        <w:rPr>
          <w:color w:val="1F497D"/>
        </w:rPr>
      </w:pPr>
    </w:p>
    <w:p w14:paraId="4C9A7BC6" w14:textId="3A335893" w:rsidR="002A50C0" w:rsidRDefault="002A50C0" w:rsidP="002A50C0">
      <w:pPr>
        <w:jc w:val="center"/>
        <w:rPr>
          <w:color w:val="1F497D"/>
        </w:rPr>
      </w:pPr>
      <w:r>
        <w:rPr>
          <w:color w:val="1F497D"/>
        </w:rPr>
        <w:t>INTEGRAZIONE</w:t>
      </w:r>
    </w:p>
    <w:p w14:paraId="666191D7" w14:textId="77777777" w:rsidR="002A50C0" w:rsidRDefault="002A50C0" w:rsidP="002A50C0">
      <w:pPr>
        <w:jc w:val="center"/>
        <w:rPr>
          <w:color w:val="1F497D"/>
        </w:rPr>
      </w:pPr>
    </w:p>
    <w:p w14:paraId="53F3E23E" w14:textId="77777777" w:rsidR="002A50C0" w:rsidRDefault="002A50C0" w:rsidP="002A50C0">
      <w:pPr>
        <w:rPr>
          <w:color w:val="1F497D"/>
        </w:rPr>
      </w:pPr>
      <w:r>
        <w:rPr>
          <w:color w:val="1F497D"/>
        </w:rPr>
        <w:t xml:space="preserve">ad integrazione del quesito posto, trasmetto il Regolamento comunale e preciso quanto segue: </w:t>
      </w:r>
    </w:p>
    <w:p w14:paraId="4E3B5238"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Trattasi di occupazione edile e, per sua natura, è temporanea; </w:t>
      </w:r>
    </w:p>
    <w:p w14:paraId="54CE052F"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1^ occupazione: 21/08/2023-31/12/2023 133 gg </w:t>
      </w:r>
    </w:p>
    <w:p w14:paraId="7EA9C9EA"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Richiesto rinnovo: 01/01/2024-30/06/2024 182 gg (nuovo anno solare). </w:t>
      </w:r>
    </w:p>
    <w:p w14:paraId="52B42126" w14:textId="77777777" w:rsidR="002A50C0" w:rsidRDefault="002A50C0" w:rsidP="002A50C0">
      <w:pPr>
        <w:rPr>
          <w:color w:val="1F497D"/>
        </w:rPr>
      </w:pPr>
      <w:r>
        <w:rPr>
          <w:color w:val="1F497D"/>
        </w:rPr>
        <w:t xml:space="preserve">Posto che: </w:t>
      </w:r>
    </w:p>
    <w:p w14:paraId="6368947B"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Tributo dovuto per anno solare </w:t>
      </w:r>
    </w:p>
    <w:p w14:paraId="3E151F2E"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Gerarchia delle fonti – regolamento di rango inferiore rispetto alla norma nazionale prevalente </w:t>
      </w:r>
    </w:p>
    <w:p w14:paraId="4B5A0226"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Il regolamento parla di rinnovo, pertanto giuridicamente sussiste la facoltà di rideterminare le clausole contrattuali (rinnovo diverso da proroga) </w:t>
      </w:r>
    </w:p>
    <w:p w14:paraId="57114EDC"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La normativa suddivide le occupazioni in permanenti (avente carattere di stabilità) e temporanee </w:t>
      </w:r>
    </w:p>
    <w:p w14:paraId="4E0B2CB5"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occupazioni edile è da intendersi temporanea indipendentemente dalla durata </w:t>
      </w:r>
    </w:p>
    <w:p w14:paraId="1DBEECFB" w14:textId="77777777" w:rsidR="002A50C0" w:rsidRDefault="002A50C0" w:rsidP="002A50C0">
      <w:pPr>
        <w:rPr>
          <w:color w:val="1F497D"/>
        </w:rPr>
      </w:pPr>
      <w:r>
        <w:rPr>
          <w:color w:val="1F497D"/>
        </w:rPr>
        <w:t xml:space="preserve">Per quanto sopra espresso, condividendo la necessità di modificare il regolamento, si ritiene corretto sino alla modifica di quest’ultimo, di considerare che essendo un nuovo anno solare (2024) ed un nuovo esercizio finanziario, il conteggio in prima istanza contempla i tre periodi (primi 14 gg, successivi 15 ed oltre i 30 gg) (al fine del mantenimento del gettito così come stabilito dalla normativa vigente) con applicazione della tariffa agevolativa (oltre 30 gg) nell’ambito del medesimo anno solare in caso di rinnovo (nel caso di specie 01/07/2024-31/12/2024). </w:t>
      </w:r>
    </w:p>
    <w:p w14:paraId="409608C3" w14:textId="77777777" w:rsidR="002A50C0" w:rsidRDefault="002A50C0" w:rsidP="002A50C0">
      <w:pPr>
        <w:rPr>
          <w:color w:val="1F497D"/>
        </w:rPr>
      </w:pPr>
      <w:r>
        <w:rPr>
          <w:color w:val="1F497D"/>
        </w:rPr>
        <w:t xml:space="preserve">Ringraziando anticipatamente, in attesa di sollecito riscontro, porgo distinti saluti. </w:t>
      </w:r>
    </w:p>
    <w:p w14:paraId="7E617B31" w14:textId="77777777" w:rsidR="002A50C0" w:rsidRDefault="002A50C0" w:rsidP="002A50C0">
      <w:pPr>
        <w:rPr>
          <w:color w:val="1F497D"/>
        </w:rPr>
      </w:pPr>
    </w:p>
    <w:p w14:paraId="20E03B78" w14:textId="77777777" w:rsidR="002A50C0" w:rsidRPr="00974F6F" w:rsidRDefault="002A50C0" w:rsidP="002A50C0">
      <w:pPr>
        <w:spacing w:before="100" w:beforeAutospacing="1" w:after="100" w:afterAutospacing="1"/>
        <w:rPr>
          <w:b/>
          <w:bCs/>
          <w:color w:val="1F497D"/>
        </w:rPr>
      </w:pPr>
      <w:r w:rsidRPr="00974F6F">
        <w:rPr>
          <w:b/>
          <w:bCs/>
          <w:color w:val="1F497D"/>
        </w:rPr>
        <w:t>RISPOSTA</w:t>
      </w:r>
    </w:p>
    <w:p w14:paraId="6FE78B84" w14:textId="381E481A" w:rsidR="002A50C0" w:rsidRDefault="002A50C0" w:rsidP="001C3717">
      <w:pPr>
        <w:jc w:val="both"/>
        <w:rPr>
          <w:color w:val="1F497D"/>
        </w:rPr>
      </w:pPr>
      <w:r>
        <w:rPr>
          <w:color w:val="1F497D"/>
        </w:rPr>
        <w:t xml:space="preserve">La questione posta, come già detto nella prima risposta, è molto interessante perché pone l’attenzione su una problematica </w:t>
      </w:r>
      <w:r w:rsidR="001C3717">
        <w:rPr>
          <w:color w:val="1F497D"/>
        </w:rPr>
        <w:t>tipica della</w:t>
      </w:r>
      <w:r>
        <w:rPr>
          <w:color w:val="1F497D"/>
        </w:rPr>
        <w:t xml:space="preserve"> nuova entrata. La legge che regola il CUP non disciplina</w:t>
      </w:r>
      <w:r w:rsidR="001C3717">
        <w:rPr>
          <w:color w:val="1F497D"/>
        </w:rPr>
        <w:t xml:space="preserve"> infatti</w:t>
      </w:r>
      <w:r>
        <w:rPr>
          <w:color w:val="1F497D"/>
        </w:rPr>
        <w:t xml:space="preserve"> in modo dettagliato le diverse fattispecie, per questo </w:t>
      </w:r>
      <w:r w:rsidR="002B2A8A">
        <w:rPr>
          <w:color w:val="1F497D"/>
        </w:rPr>
        <w:t xml:space="preserve">motivo </w:t>
      </w:r>
      <w:r>
        <w:rPr>
          <w:color w:val="1F497D"/>
        </w:rPr>
        <w:t>molto viene demandato al regolamento comun</w:t>
      </w:r>
      <w:r w:rsidR="001C3717">
        <w:rPr>
          <w:color w:val="1F497D"/>
        </w:rPr>
        <w:t>ale</w:t>
      </w:r>
      <w:r w:rsidR="002B2A8A">
        <w:rPr>
          <w:color w:val="1F497D"/>
        </w:rPr>
        <w:t xml:space="preserve"> e alla prassi applicativa dell’ufficio</w:t>
      </w:r>
      <w:r w:rsidR="001C3717">
        <w:rPr>
          <w:color w:val="1F497D"/>
        </w:rPr>
        <w:t>.</w:t>
      </w:r>
    </w:p>
    <w:p w14:paraId="325669E4" w14:textId="77777777" w:rsidR="001C3717" w:rsidRDefault="001C3717" w:rsidP="001C3717">
      <w:pPr>
        <w:jc w:val="both"/>
        <w:rPr>
          <w:color w:val="1F497D"/>
        </w:rPr>
      </w:pPr>
    </w:p>
    <w:p w14:paraId="1CF704E4" w14:textId="1AD683FD" w:rsidR="001C3717" w:rsidRDefault="002B2A8A" w:rsidP="001C3717">
      <w:pPr>
        <w:jc w:val="both"/>
        <w:rPr>
          <w:color w:val="1F497D"/>
        </w:rPr>
      </w:pPr>
      <w:r>
        <w:rPr>
          <w:color w:val="1F497D"/>
        </w:rPr>
        <w:t>Si condivide pienamente che l</w:t>
      </w:r>
      <w:r w:rsidR="001C3717">
        <w:rPr>
          <w:color w:val="1F497D"/>
        </w:rPr>
        <w:t xml:space="preserve">’occupazione in parola </w:t>
      </w:r>
      <w:r>
        <w:rPr>
          <w:color w:val="1F497D"/>
        </w:rPr>
        <w:t>sia</w:t>
      </w:r>
      <w:r w:rsidR="001C3717">
        <w:rPr>
          <w:color w:val="1F497D"/>
        </w:rPr>
        <w:t xml:space="preserve"> di natura temporanea. </w:t>
      </w:r>
      <w:r>
        <w:rPr>
          <w:color w:val="1F497D"/>
        </w:rPr>
        <w:t>Sia in base alla</w:t>
      </w:r>
      <w:r w:rsidR="001C3717">
        <w:rPr>
          <w:color w:val="1F497D"/>
        </w:rPr>
        <w:t xml:space="preserve"> durata complessiva</w:t>
      </w:r>
      <w:r>
        <w:rPr>
          <w:color w:val="1F497D"/>
        </w:rPr>
        <w:t xml:space="preserve"> (315 giorni)</w:t>
      </w:r>
      <w:r w:rsidR="001C3717">
        <w:rPr>
          <w:color w:val="1F497D"/>
        </w:rPr>
        <w:t xml:space="preserve"> inferiore all’anno, sia per la sua natura</w:t>
      </w:r>
      <w:r w:rsidR="005A61CE">
        <w:rPr>
          <w:color w:val="1F497D"/>
        </w:rPr>
        <w:t xml:space="preserve">. A questo proposito </w:t>
      </w:r>
      <w:r w:rsidR="00CA0E65">
        <w:rPr>
          <w:color w:val="1F497D"/>
        </w:rPr>
        <w:t>sarebbe utile</w:t>
      </w:r>
      <w:r w:rsidR="005A61CE">
        <w:rPr>
          <w:color w:val="1F497D"/>
        </w:rPr>
        <w:t xml:space="preserve"> specificare nel regolamento che le occupazioni edili si </w:t>
      </w:r>
      <w:r>
        <w:rPr>
          <w:color w:val="1F497D"/>
        </w:rPr>
        <w:t xml:space="preserve">devono considerare </w:t>
      </w:r>
      <w:r w:rsidR="005A61CE">
        <w:rPr>
          <w:color w:val="1F497D"/>
        </w:rPr>
        <w:t>sempre e comunque di natura temporanea</w:t>
      </w:r>
      <w:r w:rsidR="001C3717">
        <w:rPr>
          <w:color w:val="1F497D"/>
        </w:rPr>
        <w:t xml:space="preserve">. </w:t>
      </w:r>
      <w:r>
        <w:rPr>
          <w:color w:val="1F497D"/>
        </w:rPr>
        <w:t>Un chiarimento necessario in quanto i</w:t>
      </w:r>
      <w:r w:rsidR="001C3717">
        <w:rPr>
          <w:color w:val="1F497D"/>
        </w:rPr>
        <w:t xml:space="preserve">l Legislatore nel comma 827 si limita a dire che si applica la tariffa giornaliera alle occupazioni che </w:t>
      </w:r>
      <w:r w:rsidR="001C3717" w:rsidRPr="001C3717">
        <w:rPr>
          <w:color w:val="1F497D"/>
        </w:rPr>
        <w:t>si protragga</w:t>
      </w:r>
      <w:r w:rsidR="001C3717">
        <w:rPr>
          <w:color w:val="1F497D"/>
        </w:rPr>
        <w:t>no</w:t>
      </w:r>
      <w:r w:rsidR="001C3717" w:rsidRPr="001C3717">
        <w:rPr>
          <w:color w:val="1F497D"/>
        </w:rPr>
        <w:t xml:space="preserve"> per un periodo</w:t>
      </w:r>
      <w:r w:rsidR="001C3717">
        <w:rPr>
          <w:color w:val="1F497D"/>
        </w:rPr>
        <w:t xml:space="preserve"> </w:t>
      </w:r>
      <w:r w:rsidR="001C3717" w:rsidRPr="001C3717">
        <w:rPr>
          <w:color w:val="1F497D"/>
        </w:rPr>
        <w:t>inferiore all’anno solare</w:t>
      </w:r>
      <w:r w:rsidR="002252A8">
        <w:rPr>
          <w:color w:val="1F497D"/>
        </w:rPr>
        <w:t>.</w:t>
      </w:r>
      <w:r w:rsidR="005A61CE">
        <w:rPr>
          <w:color w:val="1F497D"/>
        </w:rPr>
        <w:t xml:space="preserve"> </w:t>
      </w:r>
      <w:r w:rsidR="002252A8">
        <w:rPr>
          <w:color w:val="1F497D"/>
        </w:rPr>
        <w:t>P</w:t>
      </w:r>
      <w:r w:rsidR="005A61CE">
        <w:rPr>
          <w:color w:val="1F497D"/>
        </w:rPr>
        <w:t xml:space="preserve">otrebbe quindi accadere che un cantiere </w:t>
      </w:r>
      <w:r w:rsidR="00CA0E65">
        <w:rPr>
          <w:color w:val="1F497D"/>
        </w:rPr>
        <w:t xml:space="preserve">che </w:t>
      </w:r>
      <w:r w:rsidR="005A61CE">
        <w:rPr>
          <w:color w:val="1F497D"/>
        </w:rPr>
        <w:t>si protr</w:t>
      </w:r>
      <w:r w:rsidR="00CA0E65">
        <w:rPr>
          <w:color w:val="1F497D"/>
        </w:rPr>
        <w:t>ae</w:t>
      </w:r>
      <w:r w:rsidR="005A61CE">
        <w:rPr>
          <w:color w:val="1F497D"/>
        </w:rPr>
        <w:t xml:space="preserve"> su suolo pubblico per un periodo </w:t>
      </w:r>
      <w:r>
        <w:rPr>
          <w:color w:val="1F497D"/>
        </w:rPr>
        <w:t xml:space="preserve">pari o </w:t>
      </w:r>
      <w:r w:rsidR="005A61CE">
        <w:rPr>
          <w:color w:val="1F497D"/>
        </w:rPr>
        <w:t>superiore</w:t>
      </w:r>
      <w:r>
        <w:rPr>
          <w:color w:val="1F497D"/>
        </w:rPr>
        <w:t xml:space="preserve"> all’anno</w:t>
      </w:r>
      <w:r w:rsidR="002252A8">
        <w:rPr>
          <w:color w:val="1F497D"/>
        </w:rPr>
        <w:t>,</w:t>
      </w:r>
      <w:r w:rsidR="005A61CE">
        <w:rPr>
          <w:color w:val="1F497D"/>
        </w:rPr>
        <w:t xml:space="preserve"> paradossalmente</w:t>
      </w:r>
      <w:r>
        <w:rPr>
          <w:color w:val="1F497D"/>
        </w:rPr>
        <w:t>,</w:t>
      </w:r>
      <w:r w:rsidR="005A61CE">
        <w:rPr>
          <w:color w:val="1F497D"/>
        </w:rPr>
        <w:t xml:space="preserve"> il </w:t>
      </w:r>
      <w:r>
        <w:rPr>
          <w:color w:val="1F497D"/>
        </w:rPr>
        <w:t xml:space="preserve">suo </w:t>
      </w:r>
      <w:r w:rsidR="005A61CE">
        <w:rPr>
          <w:color w:val="1F497D"/>
        </w:rPr>
        <w:t xml:space="preserve">perdurare su suolo pubblico, </w:t>
      </w:r>
      <w:r w:rsidR="002252A8">
        <w:rPr>
          <w:color w:val="1F497D"/>
        </w:rPr>
        <w:t>potrà</w:t>
      </w:r>
      <w:r w:rsidR="005A61CE">
        <w:rPr>
          <w:color w:val="1F497D"/>
        </w:rPr>
        <w:t xml:space="preserve"> portare </w:t>
      </w:r>
      <w:r>
        <w:rPr>
          <w:color w:val="1F497D"/>
        </w:rPr>
        <w:t xml:space="preserve">alla impresa che occupa il suolo pubblico </w:t>
      </w:r>
      <w:r w:rsidR="005A61CE">
        <w:rPr>
          <w:color w:val="1F497D"/>
        </w:rPr>
        <w:t>benefici</w:t>
      </w:r>
      <w:r w:rsidR="002252A8">
        <w:rPr>
          <w:color w:val="1F497D"/>
        </w:rPr>
        <w:t>o</w:t>
      </w:r>
      <w:r w:rsidR="005A61CE">
        <w:rPr>
          <w:color w:val="1F497D"/>
        </w:rPr>
        <w:t xml:space="preserve"> sul conteggio del canone. </w:t>
      </w:r>
    </w:p>
    <w:p w14:paraId="0E563474" w14:textId="77777777" w:rsidR="001C3717" w:rsidRDefault="001C3717" w:rsidP="001C3717">
      <w:pPr>
        <w:jc w:val="both"/>
        <w:rPr>
          <w:color w:val="1F497D"/>
        </w:rPr>
      </w:pPr>
    </w:p>
    <w:p w14:paraId="219F399F" w14:textId="77777777" w:rsidR="005A61CE" w:rsidRDefault="001C3717" w:rsidP="001C3717">
      <w:pPr>
        <w:jc w:val="both"/>
        <w:rPr>
          <w:color w:val="1F497D"/>
        </w:rPr>
      </w:pPr>
      <w:r>
        <w:rPr>
          <w:color w:val="1F497D"/>
        </w:rPr>
        <w:t xml:space="preserve">Detto quindi che l’occupazione dovrà scontare la tariffa giornaliera, veniamo ad analizzare l’importo della tariffa da applicare all’occupazione. </w:t>
      </w:r>
    </w:p>
    <w:p w14:paraId="1D6E3DA5" w14:textId="733397F2" w:rsidR="001C3717" w:rsidRDefault="001C3717" w:rsidP="001C3717">
      <w:pPr>
        <w:jc w:val="both"/>
        <w:rPr>
          <w:color w:val="1F497D"/>
        </w:rPr>
      </w:pPr>
      <w:r>
        <w:rPr>
          <w:color w:val="1F497D"/>
        </w:rPr>
        <w:lastRenderedPageBreak/>
        <w:t>A questo proposito</w:t>
      </w:r>
      <w:r w:rsidR="005A61CE">
        <w:rPr>
          <w:color w:val="1F497D"/>
        </w:rPr>
        <w:t xml:space="preserve"> si ritiene che</w:t>
      </w:r>
      <w:r>
        <w:rPr>
          <w:color w:val="1F497D"/>
        </w:rPr>
        <w:t xml:space="preserve"> il principio </w:t>
      </w:r>
      <w:r w:rsidR="005A61CE">
        <w:rPr>
          <w:color w:val="1F497D"/>
        </w:rPr>
        <w:t xml:space="preserve">richiamato secondo il quale </w:t>
      </w:r>
      <w:r>
        <w:rPr>
          <w:color w:val="1F497D"/>
        </w:rPr>
        <w:t>il canone sia dovuto per anno solare</w:t>
      </w:r>
      <w:r w:rsidR="005A61CE">
        <w:rPr>
          <w:color w:val="1F497D"/>
        </w:rPr>
        <w:t xml:space="preserve"> deve trovare </w:t>
      </w:r>
      <w:r w:rsidR="005B0843">
        <w:rPr>
          <w:color w:val="1F497D"/>
        </w:rPr>
        <w:t xml:space="preserve">certamente </w:t>
      </w:r>
      <w:r w:rsidR="005A61CE">
        <w:rPr>
          <w:color w:val="1F497D"/>
        </w:rPr>
        <w:t xml:space="preserve">applicazione in relazione alla eventuale modifica delle tariffe deliberate nel nuovo anno rispetto al 2023. </w:t>
      </w:r>
      <w:r w:rsidR="005B0843">
        <w:rPr>
          <w:color w:val="1F497D"/>
        </w:rPr>
        <w:t>Per la definizione degli scaglioni tariffari,</w:t>
      </w:r>
      <w:r w:rsidR="005A61CE">
        <w:rPr>
          <w:color w:val="1F497D"/>
        </w:rPr>
        <w:t xml:space="preserve"> si ritiene che un’occupazione temporanea iniziata nel 2023 e protratta nel nuovo anno senza interruzione </w:t>
      </w:r>
      <w:r w:rsidR="005B0843">
        <w:rPr>
          <w:color w:val="1F497D"/>
        </w:rPr>
        <w:t xml:space="preserve">dovrebbe </w:t>
      </w:r>
      <w:r w:rsidR="005A61CE">
        <w:rPr>
          <w:color w:val="1F497D"/>
        </w:rPr>
        <w:t>scontare il medesimo criterio di calcolo.</w:t>
      </w:r>
    </w:p>
    <w:p w14:paraId="1049C0F8" w14:textId="587C8878" w:rsidR="00965FC9" w:rsidRDefault="005A61CE" w:rsidP="001C3717">
      <w:pPr>
        <w:jc w:val="both"/>
        <w:rPr>
          <w:color w:val="1F497D"/>
        </w:rPr>
      </w:pPr>
      <w:r>
        <w:rPr>
          <w:color w:val="1F497D"/>
        </w:rPr>
        <w:t>Il ragionamento che vuole considerare i tre periodi (primi 14 gg, successivi 15 ed oltre i 30 gg)</w:t>
      </w:r>
      <w:r w:rsidR="002B2A8A">
        <w:rPr>
          <w:color w:val="1F497D"/>
        </w:rPr>
        <w:t xml:space="preserve"> nel calcolo per il rinnovo, in ragione del fatto che vi sia </w:t>
      </w:r>
      <w:r>
        <w:rPr>
          <w:color w:val="1F497D"/>
        </w:rPr>
        <w:t>un nuovo anno solare (2024) ed un nuovo esercizio finanziario,</w:t>
      </w:r>
      <w:r w:rsidR="002B2A8A">
        <w:rPr>
          <w:color w:val="1F497D"/>
        </w:rPr>
        <w:t xml:space="preserve"> appare forzato e di difficile sostenibilità in un eventuale contenzioso.</w:t>
      </w:r>
      <w:r w:rsidR="005B0843">
        <w:rPr>
          <w:color w:val="1F497D"/>
        </w:rPr>
        <w:t xml:space="preserve"> Tuttavia non vi è alcun riferimento normativo che indichi quale </w:t>
      </w:r>
      <w:r w:rsidR="00965FC9">
        <w:rPr>
          <w:color w:val="1F497D"/>
        </w:rPr>
        <w:t xml:space="preserve">sia il </w:t>
      </w:r>
      <w:r w:rsidR="005B0843">
        <w:rPr>
          <w:color w:val="1F497D"/>
        </w:rPr>
        <w:t xml:space="preserve">criterio </w:t>
      </w:r>
      <w:r w:rsidR="00965FC9">
        <w:rPr>
          <w:color w:val="1F497D"/>
        </w:rPr>
        <w:t xml:space="preserve">corretto </w:t>
      </w:r>
      <w:r w:rsidR="00B32994">
        <w:rPr>
          <w:color w:val="1F497D"/>
        </w:rPr>
        <w:t xml:space="preserve">da </w:t>
      </w:r>
      <w:r w:rsidR="005B0843">
        <w:rPr>
          <w:color w:val="1F497D"/>
        </w:rPr>
        <w:t xml:space="preserve">seguire. </w:t>
      </w:r>
    </w:p>
    <w:p w14:paraId="0C23AC1F" w14:textId="40932265" w:rsidR="005A61CE" w:rsidRPr="00965FC9" w:rsidRDefault="005B0843" w:rsidP="00965FC9">
      <w:pPr>
        <w:jc w:val="both"/>
        <w:rPr>
          <w:i/>
          <w:iCs/>
          <w:color w:val="1F497D"/>
        </w:rPr>
      </w:pPr>
      <w:r>
        <w:rPr>
          <w:color w:val="1F497D"/>
        </w:rPr>
        <w:t xml:space="preserve">Volendo </w:t>
      </w:r>
      <w:r w:rsidR="00965FC9">
        <w:rPr>
          <w:color w:val="1F497D"/>
        </w:rPr>
        <w:t xml:space="preserve">pertanto provare a </w:t>
      </w:r>
      <w:r w:rsidR="00B32994">
        <w:rPr>
          <w:color w:val="1F497D"/>
        </w:rPr>
        <w:t xml:space="preserve">seguire e </w:t>
      </w:r>
      <w:r>
        <w:rPr>
          <w:color w:val="1F497D"/>
        </w:rPr>
        <w:t xml:space="preserve">sostenere il </w:t>
      </w:r>
      <w:r w:rsidR="00B32994">
        <w:rPr>
          <w:color w:val="1F497D"/>
        </w:rPr>
        <w:t xml:space="preserve">criterio di calcolo proposto in base al principio </w:t>
      </w:r>
      <w:r>
        <w:rPr>
          <w:color w:val="1F497D"/>
        </w:rPr>
        <w:t>di netta separazione degli esercizi finanziari, potremmo richiamare le stesse parole usate dal Legislatore nei commi 826 e 827 della Legge 160/2019</w:t>
      </w:r>
      <w:r w:rsidR="00965FC9">
        <w:rPr>
          <w:color w:val="1F497D"/>
        </w:rPr>
        <w:t xml:space="preserve"> quando </w:t>
      </w:r>
      <w:r w:rsidR="00B32994">
        <w:rPr>
          <w:color w:val="1F497D"/>
        </w:rPr>
        <w:t>va a definire le due tariffe, permanente e temporanea</w:t>
      </w:r>
      <w:r w:rsidR="00965FC9">
        <w:rPr>
          <w:color w:val="1F497D"/>
        </w:rPr>
        <w:t xml:space="preserve">: </w:t>
      </w:r>
      <w:r w:rsidR="00965FC9" w:rsidRPr="00965FC9">
        <w:rPr>
          <w:i/>
          <w:iCs/>
          <w:color w:val="1F497D"/>
        </w:rPr>
        <w:t>“826. La tariffa standard annua, modificabile</w:t>
      </w:r>
      <w:r w:rsidR="00965FC9">
        <w:rPr>
          <w:i/>
          <w:iCs/>
          <w:color w:val="1F497D"/>
        </w:rPr>
        <w:t xml:space="preserve"> </w:t>
      </w:r>
      <w:r w:rsidR="00965FC9" w:rsidRPr="00965FC9">
        <w:rPr>
          <w:i/>
          <w:iCs/>
          <w:color w:val="1F497D"/>
        </w:rPr>
        <w:t>ai sensi del comma 817, in base alla</w:t>
      </w:r>
      <w:r w:rsidR="00965FC9">
        <w:rPr>
          <w:i/>
          <w:iCs/>
          <w:color w:val="1F497D"/>
        </w:rPr>
        <w:t xml:space="preserve"> </w:t>
      </w:r>
      <w:r w:rsidR="00965FC9" w:rsidRPr="00965FC9">
        <w:rPr>
          <w:i/>
          <w:iCs/>
          <w:color w:val="1F497D"/>
        </w:rPr>
        <w:t>quale si applica il canone relativo alle fattispecie</w:t>
      </w:r>
      <w:r w:rsidR="00965FC9">
        <w:rPr>
          <w:i/>
          <w:iCs/>
          <w:color w:val="1F497D"/>
        </w:rPr>
        <w:t xml:space="preserve"> </w:t>
      </w:r>
      <w:r w:rsidR="00965FC9" w:rsidRPr="00965FC9">
        <w:rPr>
          <w:i/>
          <w:iCs/>
          <w:color w:val="1F497D"/>
        </w:rPr>
        <w:t xml:space="preserve">di cui al comma 819, nel caso in cui l’occupazione o la diffusione di messaggi pubblicitari </w:t>
      </w:r>
      <w:r w:rsidR="00965FC9" w:rsidRPr="00965FC9">
        <w:rPr>
          <w:i/>
          <w:iCs/>
          <w:color w:val="1F497D"/>
          <w:u w:val="single"/>
        </w:rPr>
        <w:t xml:space="preserve">si protragga per l’intero </w:t>
      </w:r>
      <w:r w:rsidR="00965FC9" w:rsidRPr="00B32994">
        <w:rPr>
          <w:b/>
          <w:bCs/>
          <w:i/>
          <w:iCs/>
          <w:color w:val="1F497D"/>
          <w:u w:val="single"/>
        </w:rPr>
        <w:t>anno solare…</w:t>
      </w:r>
      <w:r w:rsidR="00965FC9" w:rsidRPr="00B32994">
        <w:rPr>
          <w:b/>
          <w:bCs/>
          <w:i/>
          <w:iCs/>
          <w:color w:val="1F497D"/>
        </w:rPr>
        <w:t>”</w:t>
      </w:r>
      <w:r w:rsidR="00965FC9" w:rsidRPr="00965FC9">
        <w:rPr>
          <w:color w:val="1F497D"/>
        </w:rPr>
        <w:t xml:space="preserve"> e</w:t>
      </w:r>
      <w:r w:rsidR="00965FC9">
        <w:rPr>
          <w:color w:val="1F497D"/>
        </w:rPr>
        <w:t xml:space="preserve"> quando nel successivo comma 827 scrive: “</w:t>
      </w:r>
      <w:r w:rsidR="00965FC9" w:rsidRPr="00965FC9">
        <w:rPr>
          <w:i/>
          <w:iCs/>
          <w:color w:val="1F497D"/>
        </w:rPr>
        <w:t>La tariffa standard giornaliera, modificabile</w:t>
      </w:r>
      <w:r w:rsidR="00965FC9">
        <w:rPr>
          <w:i/>
          <w:iCs/>
          <w:color w:val="1F497D"/>
        </w:rPr>
        <w:t xml:space="preserve"> </w:t>
      </w:r>
      <w:r w:rsidR="00965FC9" w:rsidRPr="00965FC9">
        <w:rPr>
          <w:i/>
          <w:iCs/>
          <w:color w:val="1F497D"/>
        </w:rPr>
        <w:t>ai sensi del comma 817, in base</w:t>
      </w:r>
      <w:r w:rsidR="00965FC9">
        <w:rPr>
          <w:i/>
          <w:iCs/>
          <w:color w:val="1F497D"/>
        </w:rPr>
        <w:t xml:space="preserve"> </w:t>
      </w:r>
      <w:r w:rsidR="00965FC9" w:rsidRPr="00965FC9">
        <w:rPr>
          <w:i/>
          <w:iCs/>
          <w:color w:val="1F497D"/>
        </w:rPr>
        <w:t>alla quale si applica il canone relativo alle</w:t>
      </w:r>
      <w:r w:rsidR="00B32994">
        <w:rPr>
          <w:i/>
          <w:iCs/>
          <w:color w:val="1F497D"/>
        </w:rPr>
        <w:t xml:space="preserve"> </w:t>
      </w:r>
      <w:r w:rsidR="00965FC9" w:rsidRPr="00965FC9">
        <w:rPr>
          <w:i/>
          <w:iCs/>
          <w:color w:val="1F497D"/>
        </w:rPr>
        <w:t>fattispecie di cui al comma 819, nel caso in</w:t>
      </w:r>
      <w:r w:rsidR="00965FC9">
        <w:rPr>
          <w:i/>
          <w:iCs/>
          <w:color w:val="1F497D"/>
        </w:rPr>
        <w:t xml:space="preserve"> </w:t>
      </w:r>
      <w:r w:rsidR="00965FC9" w:rsidRPr="00965FC9">
        <w:rPr>
          <w:i/>
          <w:iCs/>
          <w:color w:val="1F497D"/>
        </w:rPr>
        <w:t>cui l’occupazione o la diffusione di messaggi</w:t>
      </w:r>
      <w:r w:rsidR="00965FC9">
        <w:rPr>
          <w:i/>
          <w:iCs/>
          <w:color w:val="1F497D"/>
        </w:rPr>
        <w:t xml:space="preserve"> </w:t>
      </w:r>
      <w:r w:rsidR="00965FC9" w:rsidRPr="00965FC9">
        <w:rPr>
          <w:i/>
          <w:iCs/>
          <w:color w:val="1F497D"/>
        </w:rPr>
        <w:t xml:space="preserve">pubblicitari </w:t>
      </w:r>
      <w:r w:rsidR="00965FC9" w:rsidRPr="00965FC9">
        <w:rPr>
          <w:i/>
          <w:iCs/>
          <w:color w:val="1F497D"/>
          <w:u w:val="single"/>
        </w:rPr>
        <w:t xml:space="preserve">si protragga per un periodo inferiore </w:t>
      </w:r>
      <w:r w:rsidR="00965FC9" w:rsidRPr="00B32994">
        <w:rPr>
          <w:b/>
          <w:bCs/>
          <w:i/>
          <w:iCs/>
          <w:color w:val="1F497D"/>
          <w:u w:val="single"/>
        </w:rPr>
        <w:t>all’anno solare</w:t>
      </w:r>
      <w:r w:rsidR="00965FC9" w:rsidRPr="00965FC9">
        <w:rPr>
          <w:i/>
          <w:iCs/>
          <w:color w:val="1F497D"/>
          <w:u w:val="single"/>
        </w:rPr>
        <w:t>…”</w:t>
      </w:r>
    </w:p>
    <w:p w14:paraId="21712A4D" w14:textId="77777777" w:rsidR="002B2A8A" w:rsidRDefault="002B2A8A" w:rsidP="001C3717">
      <w:pPr>
        <w:jc w:val="both"/>
        <w:rPr>
          <w:color w:val="1F497D"/>
        </w:rPr>
      </w:pPr>
    </w:p>
    <w:p w14:paraId="4F1F1916" w14:textId="532ED4DB" w:rsidR="005A61CE" w:rsidRDefault="00965FC9" w:rsidP="001C3717">
      <w:pPr>
        <w:jc w:val="both"/>
        <w:rPr>
          <w:color w:val="1F497D"/>
        </w:rPr>
      </w:pPr>
      <w:r>
        <w:rPr>
          <w:color w:val="1F497D"/>
        </w:rPr>
        <w:t xml:space="preserve">Il Legislatore nel definire il criterio per differenziare le due tipologie di tariffa fa riferimento sempre all’anno solare. Questo </w:t>
      </w:r>
      <w:r w:rsidR="00B32994">
        <w:rPr>
          <w:color w:val="1F497D"/>
        </w:rPr>
        <w:t>risulterebbe</w:t>
      </w:r>
      <w:r>
        <w:rPr>
          <w:color w:val="1F497D"/>
        </w:rPr>
        <w:t xml:space="preserve"> in linea con quanto scritto nel quesito andando ad applicare i diversi scaglioni tariffari nell’ambito del medesimo anno solare. In questo senso </w:t>
      </w:r>
      <w:r w:rsidR="00B32994">
        <w:rPr>
          <w:color w:val="1F497D"/>
        </w:rPr>
        <w:t xml:space="preserve">si </w:t>
      </w:r>
      <w:r>
        <w:rPr>
          <w:color w:val="1F497D"/>
        </w:rPr>
        <w:t xml:space="preserve">potrebbe </w:t>
      </w:r>
      <w:r w:rsidR="00B32994">
        <w:rPr>
          <w:color w:val="1F497D"/>
        </w:rPr>
        <w:t xml:space="preserve">legittimamente </w:t>
      </w:r>
      <w:r>
        <w:rPr>
          <w:color w:val="1F497D"/>
        </w:rPr>
        <w:t>sostener</w:t>
      </w:r>
      <w:r w:rsidR="00B32994">
        <w:rPr>
          <w:color w:val="1F497D"/>
        </w:rPr>
        <w:t>e</w:t>
      </w:r>
      <w:r>
        <w:rPr>
          <w:color w:val="1F497D"/>
        </w:rPr>
        <w:t xml:space="preserve"> che con il 1 gennaio </w:t>
      </w:r>
      <w:r w:rsidR="00B32994">
        <w:rPr>
          <w:color w:val="1F497D"/>
        </w:rPr>
        <w:t>di ciascun anno</w:t>
      </w:r>
      <w:r>
        <w:rPr>
          <w:color w:val="1F497D"/>
        </w:rPr>
        <w:t>, si debba ripartire con i conteggi</w:t>
      </w:r>
      <w:r w:rsidR="00B32994">
        <w:rPr>
          <w:color w:val="1F497D"/>
        </w:rPr>
        <w:t xml:space="preserve">, sia in termini tariffari che di </w:t>
      </w:r>
      <w:r>
        <w:rPr>
          <w:color w:val="1F497D"/>
        </w:rPr>
        <w:t>durata dell’occupazione.</w:t>
      </w:r>
      <w:r w:rsidR="00B32994">
        <w:rPr>
          <w:color w:val="1F497D"/>
        </w:rPr>
        <w:t xml:space="preserve"> </w:t>
      </w:r>
    </w:p>
    <w:p w14:paraId="6C538533" w14:textId="77777777" w:rsidR="00B32994" w:rsidRDefault="00B32994" w:rsidP="001C3717">
      <w:pPr>
        <w:jc w:val="both"/>
        <w:rPr>
          <w:color w:val="1F497D"/>
        </w:rPr>
      </w:pPr>
    </w:p>
    <w:p w14:paraId="50F32700" w14:textId="68F66661" w:rsidR="00B32994" w:rsidRDefault="00B32994" w:rsidP="001C3717">
      <w:pPr>
        <w:jc w:val="both"/>
        <w:rPr>
          <w:color w:val="1F497D"/>
        </w:rPr>
      </w:pPr>
      <w:r>
        <w:rPr>
          <w:color w:val="1F497D"/>
        </w:rPr>
        <w:t>Volendo seguire la linea proposta nel quesito, rimane tuttavia un dubbio applicativo nel caso in cui venga richiesta la concessione ad occupare il suolo pubblico con un cantiere per un unico periodo a scavalco d’anno, ad esempio una richiesta di 60 giorni a partire dal 2 dicembre</w:t>
      </w:r>
      <w:r w:rsidR="006F0DC4">
        <w:rPr>
          <w:color w:val="1F497D"/>
        </w:rPr>
        <w:t xml:space="preserve">. Anche in questo caso il calcolo della medesima concessione verrebbe spezzato in due ai fini degli scaglioni tariffari? </w:t>
      </w:r>
    </w:p>
    <w:p w14:paraId="77FCE704" w14:textId="77777777" w:rsidR="00965FC9" w:rsidRDefault="00965FC9" w:rsidP="001C3717">
      <w:pPr>
        <w:jc w:val="both"/>
        <w:rPr>
          <w:color w:val="1F497D"/>
        </w:rPr>
      </w:pPr>
    </w:p>
    <w:p w14:paraId="3A394393" w14:textId="31EE30D2" w:rsidR="00965FC9" w:rsidRDefault="006F0DC4" w:rsidP="001C3717">
      <w:pPr>
        <w:jc w:val="both"/>
        <w:rPr>
          <w:color w:val="1F497D"/>
        </w:rPr>
      </w:pPr>
      <w:r>
        <w:rPr>
          <w:color w:val="1F497D"/>
        </w:rPr>
        <w:t>È evidente come una</w:t>
      </w:r>
      <w:r w:rsidR="00965FC9">
        <w:rPr>
          <w:color w:val="1F497D"/>
        </w:rPr>
        <w:t xml:space="preserve"> modifica del criterio da portare a livello regolamentare a questo punto sarebbe quanto mai utile. Mantenere </w:t>
      </w:r>
      <w:r w:rsidR="00B32994">
        <w:rPr>
          <w:color w:val="1F497D"/>
        </w:rPr>
        <w:t xml:space="preserve">in essere </w:t>
      </w:r>
      <w:r w:rsidR="00965FC9">
        <w:rPr>
          <w:color w:val="1F497D"/>
        </w:rPr>
        <w:t>un sistema “premiante”</w:t>
      </w:r>
      <w:r w:rsidR="00B32994">
        <w:rPr>
          <w:color w:val="1F497D"/>
        </w:rPr>
        <w:t xml:space="preserve"> per le occupazioni che si protraggono per più tempo su suolo pubblico appare contrario al principio di sacrificio imposto alla collettività, che deve subire la presenza dell’occupazione di suolo pubblico arrecando difficoltà alla circolazione pedonale e a volte a quella stradale.</w:t>
      </w:r>
    </w:p>
    <w:p w14:paraId="47C358CC" w14:textId="77777777" w:rsidR="002A50C0" w:rsidRPr="00974F6F" w:rsidRDefault="002A50C0" w:rsidP="002A50C0">
      <w:pPr>
        <w:jc w:val="center"/>
      </w:pPr>
    </w:p>
    <w:sectPr w:rsidR="002A50C0" w:rsidRPr="00974F6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16BE2"/>
    <w:multiLevelType w:val="hybridMultilevel"/>
    <w:tmpl w:val="264A57E2"/>
    <w:lvl w:ilvl="0" w:tplc="75B2A83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AD02BEE"/>
    <w:multiLevelType w:val="hybridMultilevel"/>
    <w:tmpl w:val="E70EC73A"/>
    <w:lvl w:ilvl="0" w:tplc="75B2A83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804666929">
    <w:abstractNumId w:val="1"/>
  </w:num>
  <w:num w:numId="2" w16cid:durableId="210476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FD"/>
    <w:rsid w:val="00060149"/>
    <w:rsid w:val="001C3717"/>
    <w:rsid w:val="002252A8"/>
    <w:rsid w:val="00240BCF"/>
    <w:rsid w:val="002A50C0"/>
    <w:rsid w:val="002B2A8A"/>
    <w:rsid w:val="003573CC"/>
    <w:rsid w:val="00541D04"/>
    <w:rsid w:val="005A61CE"/>
    <w:rsid w:val="005B0843"/>
    <w:rsid w:val="006F0DC4"/>
    <w:rsid w:val="00864E40"/>
    <w:rsid w:val="00965FC9"/>
    <w:rsid w:val="00974F6F"/>
    <w:rsid w:val="009C1E84"/>
    <w:rsid w:val="00B32994"/>
    <w:rsid w:val="00C7074C"/>
    <w:rsid w:val="00CA0E65"/>
    <w:rsid w:val="00F704FD"/>
    <w:rsid w:val="00F718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7A0D"/>
  <w15:chartTrackingRefBased/>
  <w15:docId w15:val="{0355FBCD-3EBE-42A2-B3FD-6A8D1C90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4F6F"/>
    <w:pPr>
      <w:spacing w:after="0" w:line="240" w:lineRule="auto"/>
    </w:pPr>
    <w:rPr>
      <w:rFonts w:ascii="Calibri" w:hAnsi="Calibri" w:cs="Calibri"/>
      <w:kern w:val="0"/>
      <w:lang w:eastAsia="it-IT"/>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A50C0"/>
    <w:pPr>
      <w:ind w:left="72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57449">
      <w:bodyDiv w:val="1"/>
      <w:marLeft w:val="0"/>
      <w:marRight w:val="0"/>
      <w:marTop w:val="0"/>
      <w:marBottom w:val="0"/>
      <w:divBdr>
        <w:top w:val="none" w:sz="0" w:space="0" w:color="auto"/>
        <w:left w:val="none" w:sz="0" w:space="0" w:color="auto"/>
        <w:bottom w:val="none" w:sz="0" w:space="0" w:color="auto"/>
        <w:right w:val="none" w:sz="0" w:space="0" w:color="auto"/>
      </w:divBdr>
    </w:div>
    <w:div w:id="202212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Pages>
  <Words>1498</Words>
  <Characters>8544</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10</cp:revision>
  <dcterms:created xsi:type="dcterms:W3CDTF">2024-01-19T14:24:00Z</dcterms:created>
  <dcterms:modified xsi:type="dcterms:W3CDTF">2024-01-24T09:44:00Z</dcterms:modified>
</cp:coreProperties>
</file>