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28D8A" w14:textId="77777777" w:rsidR="00083D5F" w:rsidRDefault="00083D5F" w:rsidP="00083D5F">
      <w:r>
        <w:t>Quesito:</w:t>
      </w:r>
    </w:p>
    <w:p w14:paraId="148CDF05" w14:textId="77777777" w:rsidR="00083D5F" w:rsidRDefault="00083D5F" w:rsidP="00083D5F">
      <w:r>
        <w:t>Un contribuente ha come logo, che identifica la propria attività, un'immagine costituita da strisce colorate. Tale immagine è riportata non solo su cartelli, insegne e veicoli, ma l'intera facciata dell'immobile sede dell'attività è stata tinteggiata con la riproduzione di dette linee colorate.</w:t>
      </w:r>
    </w:p>
    <w:p w14:paraId="7B548E44" w14:textId="77777777" w:rsidR="00083D5F" w:rsidRDefault="00083D5F" w:rsidP="00083D5F">
      <w:r>
        <w:t xml:space="preserve">È corretto calcolare il </w:t>
      </w:r>
      <w:proofErr w:type="spellStart"/>
      <w:r>
        <w:t>cup</w:t>
      </w:r>
      <w:proofErr w:type="spellEnd"/>
      <w:r>
        <w:t xml:space="preserve"> pubblicità per l'intera parete dell'immobile?</w:t>
      </w:r>
    </w:p>
    <w:p w14:paraId="75E2C388" w14:textId="69DE51E4" w:rsidR="00083D5F" w:rsidRDefault="00083D5F" w:rsidP="00083D5F">
      <w:r>
        <w:t>RISPOSTA</w:t>
      </w:r>
    </w:p>
    <w:p w14:paraId="3587BA9F" w14:textId="74A31F8F" w:rsidR="00083D5F" w:rsidRDefault="00083D5F" w:rsidP="00083D5F">
      <w:pPr>
        <w:jc w:val="both"/>
        <w:rPr>
          <w:rFonts w:ascii="Tahoma" w:hAnsi="Tahoma" w:cs="Tahoma"/>
          <w:color w:val="000000"/>
          <w:sz w:val="20"/>
          <w:szCs w:val="20"/>
        </w:rPr>
      </w:pPr>
      <w:r w:rsidRPr="006662BF">
        <w:rPr>
          <w:rFonts w:ascii="Tahoma" w:hAnsi="Tahoma" w:cs="Tahoma"/>
          <w:color w:val="000000"/>
          <w:sz w:val="20"/>
          <w:szCs w:val="20"/>
        </w:rPr>
        <w:t xml:space="preserve">Il quesito è molto interessante e ripropone il tema del presupposto pubblicitario, ovvero di tutto ciò che </w:t>
      </w:r>
      <w:r w:rsidR="000065E3">
        <w:rPr>
          <w:rFonts w:ascii="Tahoma" w:hAnsi="Tahoma" w:cs="Tahoma"/>
          <w:color w:val="000000"/>
          <w:sz w:val="20"/>
          <w:szCs w:val="20"/>
        </w:rPr>
        <w:t>rientra</w:t>
      </w:r>
      <w:r w:rsidRPr="006662BF">
        <w:rPr>
          <w:rFonts w:ascii="Tahoma" w:hAnsi="Tahoma" w:cs="Tahoma"/>
          <w:color w:val="000000"/>
          <w:sz w:val="20"/>
          <w:szCs w:val="20"/>
        </w:rPr>
        <w:t xml:space="preserve"> nell’ambito applicativo del prelievo dedicato alle iniziative pubblicitarie. </w:t>
      </w:r>
      <w:r>
        <w:rPr>
          <w:rFonts w:ascii="Tahoma" w:hAnsi="Tahoma" w:cs="Tahoma"/>
          <w:color w:val="000000"/>
          <w:sz w:val="20"/>
          <w:szCs w:val="20"/>
        </w:rPr>
        <w:t xml:space="preserve">In passato i giudici tributari delle Commissioni Tributarie e i giudici di legittimità si </w:t>
      </w:r>
      <w:r w:rsidR="000065E3">
        <w:rPr>
          <w:rFonts w:ascii="Tahoma" w:hAnsi="Tahoma" w:cs="Tahoma"/>
          <w:color w:val="000000"/>
          <w:sz w:val="20"/>
          <w:szCs w:val="20"/>
        </w:rPr>
        <w:t>erano</w:t>
      </w:r>
      <w:r>
        <w:rPr>
          <w:rFonts w:ascii="Tahoma" w:hAnsi="Tahoma" w:cs="Tahoma"/>
          <w:color w:val="000000"/>
          <w:sz w:val="20"/>
          <w:szCs w:val="20"/>
        </w:rPr>
        <w:t xml:space="preserve"> spesso espresse su quello che può considerarsi presupposto d’imposta. Oggi, le</w:t>
      </w:r>
      <w:r w:rsidRPr="006662BF">
        <w:rPr>
          <w:rFonts w:ascii="Tahoma" w:hAnsi="Tahoma" w:cs="Tahoma"/>
          <w:color w:val="000000"/>
          <w:sz w:val="20"/>
          <w:szCs w:val="20"/>
        </w:rPr>
        <w:t xml:space="preserve"> considerazioni possono essere </w:t>
      </w:r>
      <w:r>
        <w:rPr>
          <w:rFonts w:ascii="Tahoma" w:hAnsi="Tahoma" w:cs="Tahoma"/>
          <w:color w:val="000000"/>
          <w:sz w:val="20"/>
          <w:szCs w:val="20"/>
        </w:rPr>
        <w:t xml:space="preserve">riproposte sulla disciplina del </w:t>
      </w:r>
      <w:r w:rsidRPr="006662BF">
        <w:rPr>
          <w:rFonts w:ascii="Tahoma" w:hAnsi="Tahoma" w:cs="Tahoma"/>
          <w:color w:val="000000"/>
          <w:sz w:val="20"/>
          <w:szCs w:val="20"/>
        </w:rPr>
        <w:t>Canone Unico Patrimoniale</w:t>
      </w:r>
      <w:r>
        <w:rPr>
          <w:rFonts w:ascii="Tahoma" w:hAnsi="Tahoma" w:cs="Tahoma"/>
          <w:color w:val="000000"/>
          <w:sz w:val="20"/>
          <w:szCs w:val="20"/>
        </w:rPr>
        <w:t xml:space="preserve">, entrata </w:t>
      </w:r>
      <w:r w:rsidRPr="006662BF">
        <w:rPr>
          <w:rFonts w:ascii="Tahoma" w:hAnsi="Tahoma" w:cs="Tahoma"/>
          <w:color w:val="000000"/>
          <w:sz w:val="20"/>
          <w:szCs w:val="20"/>
        </w:rPr>
        <w:t xml:space="preserve">che affonda pesantemente </w:t>
      </w:r>
      <w:r>
        <w:rPr>
          <w:rFonts w:ascii="Tahoma" w:hAnsi="Tahoma" w:cs="Tahoma"/>
          <w:color w:val="000000"/>
          <w:sz w:val="20"/>
          <w:szCs w:val="20"/>
        </w:rPr>
        <w:t xml:space="preserve">le radici nel </w:t>
      </w:r>
      <w:r w:rsidRPr="006662BF">
        <w:rPr>
          <w:rFonts w:ascii="Tahoma" w:hAnsi="Tahoma" w:cs="Tahoma"/>
          <w:color w:val="000000"/>
          <w:sz w:val="20"/>
          <w:szCs w:val="20"/>
        </w:rPr>
        <w:t>precedente prelievo</w:t>
      </w:r>
      <w:r>
        <w:rPr>
          <w:rFonts w:ascii="Tahoma" w:hAnsi="Tahoma" w:cs="Tahoma"/>
          <w:color w:val="000000"/>
          <w:sz w:val="20"/>
          <w:szCs w:val="20"/>
        </w:rPr>
        <w:t>, così che l</w:t>
      </w:r>
      <w:r w:rsidRPr="008E3A86">
        <w:rPr>
          <w:rFonts w:ascii="Tahoma" w:hAnsi="Tahoma" w:cs="Tahoma"/>
          <w:color w:val="000000"/>
          <w:sz w:val="20"/>
          <w:szCs w:val="20"/>
        </w:rPr>
        <w:t xml:space="preserve">a giurisprudenza </w:t>
      </w:r>
      <w:r w:rsidR="000065E3">
        <w:rPr>
          <w:rFonts w:ascii="Tahoma" w:hAnsi="Tahoma" w:cs="Tahoma"/>
          <w:color w:val="000000"/>
          <w:sz w:val="20"/>
          <w:szCs w:val="20"/>
        </w:rPr>
        <w:t>in materia di ICP</w:t>
      </w:r>
      <w:r w:rsidRPr="008E3A86">
        <w:rPr>
          <w:rFonts w:ascii="Tahoma" w:hAnsi="Tahoma" w:cs="Tahoma"/>
          <w:color w:val="000000"/>
          <w:sz w:val="20"/>
          <w:szCs w:val="20"/>
        </w:rPr>
        <w:t xml:space="preserve">, costituisce </w:t>
      </w:r>
      <w:r>
        <w:rPr>
          <w:rFonts w:ascii="Tahoma" w:hAnsi="Tahoma" w:cs="Tahoma"/>
          <w:color w:val="000000"/>
          <w:sz w:val="20"/>
          <w:szCs w:val="20"/>
        </w:rPr>
        <w:t xml:space="preserve">quindi </w:t>
      </w:r>
      <w:r w:rsidRPr="008E3A86">
        <w:rPr>
          <w:rFonts w:ascii="Tahoma" w:hAnsi="Tahoma" w:cs="Tahoma"/>
          <w:color w:val="000000"/>
          <w:sz w:val="20"/>
          <w:szCs w:val="20"/>
        </w:rPr>
        <w:t xml:space="preserve">ancora un </w:t>
      </w:r>
      <w:r>
        <w:rPr>
          <w:rFonts w:ascii="Tahoma" w:hAnsi="Tahoma" w:cs="Tahoma"/>
          <w:color w:val="000000"/>
          <w:sz w:val="20"/>
          <w:szCs w:val="20"/>
        </w:rPr>
        <w:t xml:space="preserve">sicuro </w:t>
      </w:r>
      <w:r w:rsidRPr="008E3A86">
        <w:rPr>
          <w:rFonts w:ascii="Tahoma" w:hAnsi="Tahoma" w:cs="Tahoma"/>
          <w:color w:val="000000"/>
          <w:sz w:val="20"/>
          <w:szCs w:val="20"/>
        </w:rPr>
        <w:t>riferimento a</w:t>
      </w:r>
      <w:r>
        <w:rPr>
          <w:rFonts w:ascii="Tahoma" w:hAnsi="Tahoma" w:cs="Tahoma"/>
          <w:color w:val="000000"/>
          <w:sz w:val="20"/>
          <w:szCs w:val="20"/>
        </w:rPr>
        <w:t xml:space="preserve">nche </w:t>
      </w:r>
      <w:r w:rsidR="000065E3">
        <w:rPr>
          <w:rFonts w:ascii="Tahoma" w:hAnsi="Tahoma" w:cs="Tahoma"/>
          <w:color w:val="000000"/>
          <w:sz w:val="20"/>
          <w:szCs w:val="20"/>
        </w:rPr>
        <w:t>per il</w:t>
      </w:r>
      <w:r>
        <w:rPr>
          <w:rFonts w:ascii="Tahoma" w:hAnsi="Tahoma" w:cs="Tahoma"/>
          <w:color w:val="000000"/>
          <w:sz w:val="20"/>
          <w:szCs w:val="20"/>
        </w:rPr>
        <w:t xml:space="preserve"> Canone Unico</w:t>
      </w:r>
      <w:r w:rsidRPr="008E3A86">
        <w:rPr>
          <w:rFonts w:ascii="Tahoma" w:hAnsi="Tahoma" w:cs="Tahoma"/>
          <w:color w:val="000000"/>
          <w:sz w:val="20"/>
          <w:szCs w:val="20"/>
        </w:rPr>
        <w:t xml:space="preserve">. </w:t>
      </w:r>
    </w:p>
    <w:p w14:paraId="4CFF8760" w14:textId="59B85F86" w:rsidR="000065E3" w:rsidRDefault="000065E3" w:rsidP="000065E3">
      <w:pPr>
        <w:jc w:val="both"/>
        <w:rPr>
          <w:i/>
        </w:rPr>
      </w:pPr>
      <w:r>
        <w:t xml:space="preserve">A mente del comma 819 lettera B della Legge 160/2019, il presupposto del </w:t>
      </w:r>
      <w:r>
        <w:t>C</w:t>
      </w:r>
      <w:r>
        <w:t>anone</w:t>
      </w:r>
      <w:r>
        <w:t xml:space="preserve"> Unico</w:t>
      </w:r>
      <w:r>
        <w:t xml:space="preserve"> si realizza mediante: </w:t>
      </w:r>
      <w:r>
        <w:rPr>
          <w:i/>
        </w:rPr>
        <w:t>“la diffusione di messaggi pubblicitari, anche abusiva, mediante impianti installati su aree appartenenti al demanio o al patrimonio indisponibile degli enti, su beni privati laddove siano visibili da luogo pubblico o aperto al pubblico del territorio comunale, ovvero all’esterno di veicoli adibiti a uso pubblico o a uso privato.”</w:t>
      </w:r>
    </w:p>
    <w:p w14:paraId="357D3B50" w14:textId="3408B32C" w:rsidR="000065E3" w:rsidRDefault="000065E3" w:rsidP="00083D5F">
      <w:pPr>
        <w:jc w:val="both"/>
        <w:rPr>
          <w:rFonts w:ascii="Tahoma" w:hAnsi="Tahoma" w:cs="Tahoma"/>
          <w:color w:val="000000"/>
          <w:sz w:val="20"/>
          <w:szCs w:val="20"/>
        </w:rPr>
      </w:pPr>
      <w:r>
        <w:rPr>
          <w:rFonts w:ascii="Tahoma" w:hAnsi="Tahoma" w:cs="Tahoma"/>
          <w:color w:val="000000"/>
          <w:sz w:val="20"/>
          <w:szCs w:val="20"/>
        </w:rPr>
        <w:t xml:space="preserve">Definizione meno precisa di quella conosciuta in materia di Imposta con l’articolo 5 del </w:t>
      </w:r>
      <w:proofErr w:type="spellStart"/>
      <w:r>
        <w:rPr>
          <w:rFonts w:ascii="Tahoma" w:hAnsi="Tahoma" w:cs="Tahoma"/>
          <w:color w:val="000000"/>
          <w:sz w:val="20"/>
          <w:szCs w:val="20"/>
        </w:rPr>
        <w:t>D.Lgs</w:t>
      </w:r>
      <w:proofErr w:type="spellEnd"/>
      <w:r>
        <w:rPr>
          <w:rFonts w:ascii="Tahoma" w:hAnsi="Tahoma" w:cs="Tahoma"/>
          <w:color w:val="000000"/>
          <w:sz w:val="20"/>
          <w:szCs w:val="20"/>
        </w:rPr>
        <w:t xml:space="preserve"> 507/93, ma che tuttavia esprime la volontà del Legislatore di continuare a ritenere attratte nel presupposto tutte le iniziative pubblicitarie diffuse in luoghi pubblici o aperti al pubblico. In questo senso molti degli schemi regolamentari del Canone Unico richiamano, in modalità copia e incolla, le definizioni già conosciute con il precedente prelievo. </w:t>
      </w:r>
    </w:p>
    <w:p w14:paraId="695B7BE2" w14:textId="32195739" w:rsidR="00083D5F" w:rsidRDefault="000065E3" w:rsidP="00083D5F">
      <w:pPr>
        <w:jc w:val="both"/>
        <w:rPr>
          <w:rFonts w:ascii="Tahoma" w:hAnsi="Tahoma" w:cs="Tahoma"/>
          <w:color w:val="000000"/>
          <w:sz w:val="20"/>
          <w:szCs w:val="20"/>
        </w:rPr>
      </w:pPr>
      <w:r>
        <w:rPr>
          <w:rFonts w:ascii="Tahoma" w:hAnsi="Tahoma" w:cs="Tahoma"/>
          <w:color w:val="000000"/>
          <w:sz w:val="20"/>
          <w:szCs w:val="20"/>
        </w:rPr>
        <w:t>Venendo al merito del quesito, l</w:t>
      </w:r>
      <w:r w:rsidR="00083D5F" w:rsidRPr="008E3A86">
        <w:rPr>
          <w:rFonts w:ascii="Tahoma" w:hAnsi="Tahoma" w:cs="Tahoma"/>
          <w:color w:val="000000"/>
          <w:sz w:val="20"/>
          <w:szCs w:val="20"/>
        </w:rPr>
        <w:t xml:space="preserve">a Cassazione a più riprese </w:t>
      </w:r>
      <w:r w:rsidR="00083D5F">
        <w:rPr>
          <w:rFonts w:ascii="Tahoma" w:hAnsi="Tahoma" w:cs="Tahoma"/>
          <w:color w:val="000000"/>
          <w:sz w:val="20"/>
          <w:szCs w:val="20"/>
        </w:rPr>
        <w:t>aveva</w:t>
      </w:r>
      <w:r w:rsidR="00083D5F" w:rsidRPr="008E3A86">
        <w:rPr>
          <w:rFonts w:ascii="Tahoma" w:hAnsi="Tahoma" w:cs="Tahoma"/>
          <w:color w:val="000000"/>
          <w:sz w:val="20"/>
          <w:szCs w:val="20"/>
        </w:rPr>
        <w:t xml:space="preserve"> affermato che soggetto all’imposta </w:t>
      </w:r>
      <w:r w:rsidR="00083D5F">
        <w:rPr>
          <w:rFonts w:ascii="Tahoma" w:hAnsi="Tahoma" w:cs="Tahoma"/>
          <w:color w:val="000000"/>
          <w:sz w:val="20"/>
          <w:szCs w:val="20"/>
        </w:rPr>
        <w:t>è</w:t>
      </w:r>
      <w:r w:rsidR="00083D5F" w:rsidRPr="008E3A86">
        <w:rPr>
          <w:rFonts w:ascii="Tahoma" w:hAnsi="Tahoma" w:cs="Tahoma"/>
          <w:color w:val="000000"/>
          <w:sz w:val="20"/>
          <w:szCs w:val="20"/>
        </w:rPr>
        <w:t xml:space="preserve"> qualsiasi mezzo di comunicazione con il pubblico, il quale risulti, indipendentemente dalla ragione e finalità della sua adozione, oggettivamente idoneo a far conoscere indiscriminatamente alla massa indeterminata di possibili acquirenti ed utenti il nome o il prodotto dell’azienda (cfr. Cassazione n. 8220 del 22.07.1993).</w:t>
      </w:r>
    </w:p>
    <w:p w14:paraId="77AD1B65" w14:textId="77777777" w:rsidR="00083D5F" w:rsidRPr="00A247AA" w:rsidRDefault="00083D5F" w:rsidP="00083D5F">
      <w:pPr>
        <w:jc w:val="both"/>
        <w:rPr>
          <w:rFonts w:ascii="Tahoma" w:hAnsi="Tahoma" w:cs="Tahoma"/>
          <w:i/>
          <w:color w:val="000000"/>
          <w:sz w:val="20"/>
          <w:szCs w:val="20"/>
        </w:rPr>
      </w:pPr>
      <w:r w:rsidRPr="00A247AA">
        <w:rPr>
          <w:rFonts w:ascii="Tahoma" w:hAnsi="Tahoma" w:cs="Tahoma"/>
          <w:color w:val="000000"/>
          <w:sz w:val="20"/>
          <w:szCs w:val="20"/>
        </w:rPr>
        <w:t xml:space="preserve">Concetto che ritroviamo anche nella  sentenza di Cassazione  n. 17852 del 03.09.2004, laddove recita: “… </w:t>
      </w:r>
      <w:r w:rsidRPr="00A247AA">
        <w:rPr>
          <w:rFonts w:ascii="Tahoma" w:hAnsi="Tahoma" w:cs="Tahoma"/>
          <w:i/>
          <w:color w:val="000000"/>
          <w:sz w:val="20"/>
          <w:szCs w:val="20"/>
        </w:rPr>
        <w:t>in definitiva, è soggetto ad imposta sulla pubblicità qualsiasi mezzo di comunicazione con pubblico, il quale – indipendentemente dalla ragione e finalità della sua adozione – risulti obbiettivamente idoneo a far conoscere indiscriminatamente alla massa indeterminata di possibili acquirenti ed utenti il nome, l’attività ed il prodotto di un’azienda, restando irrilevante che detto mezzo di comunicazione non assolva pure una funzione reclamistica o propagandistica”.</w:t>
      </w:r>
    </w:p>
    <w:p w14:paraId="0658DD77" w14:textId="77777777" w:rsidR="00083D5F" w:rsidRDefault="00083D5F" w:rsidP="00083D5F">
      <w:pPr>
        <w:jc w:val="both"/>
        <w:rPr>
          <w:rFonts w:ascii="Tahoma" w:hAnsi="Tahoma" w:cs="Tahoma"/>
          <w:color w:val="000000"/>
          <w:sz w:val="20"/>
          <w:szCs w:val="20"/>
        </w:rPr>
      </w:pPr>
      <w:r w:rsidRPr="00A247AA">
        <w:rPr>
          <w:rFonts w:ascii="Tahoma" w:hAnsi="Tahoma" w:cs="Tahoma"/>
          <w:color w:val="000000"/>
          <w:sz w:val="20"/>
          <w:szCs w:val="20"/>
        </w:rPr>
        <w:t xml:space="preserve">Deve </w:t>
      </w:r>
      <w:r>
        <w:rPr>
          <w:rFonts w:ascii="Tahoma" w:hAnsi="Tahoma" w:cs="Tahoma"/>
          <w:color w:val="000000"/>
          <w:sz w:val="20"/>
          <w:szCs w:val="20"/>
        </w:rPr>
        <w:t>quindi</w:t>
      </w:r>
      <w:r w:rsidRPr="00A247AA">
        <w:rPr>
          <w:rFonts w:ascii="Tahoma" w:hAnsi="Tahoma" w:cs="Tahoma"/>
          <w:color w:val="000000"/>
          <w:sz w:val="20"/>
          <w:szCs w:val="20"/>
        </w:rPr>
        <w:t xml:space="preserve"> individuarsi la oggettiva volontà di diffondere un messaggio pubblicitario.</w:t>
      </w:r>
    </w:p>
    <w:p w14:paraId="1A34D109" w14:textId="52C69EEC" w:rsidR="00083D5F" w:rsidRDefault="00083D5F" w:rsidP="00083D5F">
      <w:pPr>
        <w:jc w:val="both"/>
        <w:rPr>
          <w:rFonts w:ascii="Tahoma" w:hAnsi="Tahoma" w:cs="Tahoma"/>
          <w:color w:val="000000"/>
          <w:sz w:val="20"/>
          <w:szCs w:val="20"/>
        </w:rPr>
      </w:pPr>
      <w:r>
        <w:rPr>
          <w:rFonts w:ascii="Tahoma" w:hAnsi="Tahoma" w:cs="Tahoma"/>
          <w:color w:val="000000"/>
          <w:sz w:val="20"/>
          <w:szCs w:val="20"/>
        </w:rPr>
        <w:t xml:space="preserve">Venendo quindi al caso proposto nel quesito, si ritiene che </w:t>
      </w:r>
      <w:r w:rsidR="001D56BA">
        <w:t>l'intera facciata dell'immobile sede dell'attività tinteggiata con la riproduzione d</w:t>
      </w:r>
      <w:r w:rsidR="001D56BA">
        <w:t xml:space="preserve">elle </w:t>
      </w:r>
      <w:r w:rsidR="001D56BA">
        <w:t>linee colorate</w:t>
      </w:r>
      <w:r w:rsidR="001D56BA">
        <w:t xml:space="preserve"> </w:t>
      </w:r>
      <w:r w:rsidR="00BB608F">
        <w:t>identificative del</w:t>
      </w:r>
      <w:r w:rsidR="001D56BA">
        <w:t xml:space="preserve"> logo della società</w:t>
      </w:r>
      <w:r w:rsidR="00BB608F">
        <w:t>, possa svolgere</w:t>
      </w:r>
      <w:r w:rsidRPr="00A247AA">
        <w:rPr>
          <w:rFonts w:ascii="Tahoma" w:hAnsi="Tahoma" w:cs="Tahoma"/>
          <w:color w:val="000000"/>
          <w:sz w:val="20"/>
          <w:szCs w:val="20"/>
        </w:rPr>
        <w:t xml:space="preserve"> una funzione pubblicitaria </w:t>
      </w:r>
      <w:r>
        <w:rPr>
          <w:rFonts w:ascii="Tahoma" w:hAnsi="Tahoma" w:cs="Tahoma"/>
          <w:color w:val="000000"/>
          <w:sz w:val="20"/>
          <w:szCs w:val="20"/>
        </w:rPr>
        <w:t xml:space="preserve">che rientra </w:t>
      </w:r>
      <w:r w:rsidRPr="00A247AA">
        <w:rPr>
          <w:rFonts w:ascii="Tahoma" w:hAnsi="Tahoma" w:cs="Tahoma"/>
          <w:color w:val="000000"/>
          <w:sz w:val="20"/>
          <w:szCs w:val="20"/>
        </w:rPr>
        <w:t>a pieno titolo nel presupposto del canone.</w:t>
      </w:r>
    </w:p>
    <w:p w14:paraId="06B11BFA" w14:textId="6B82CA62" w:rsidR="00083D5F" w:rsidRPr="00635D6F" w:rsidRDefault="00083D5F" w:rsidP="00083D5F">
      <w:pPr>
        <w:jc w:val="both"/>
        <w:rPr>
          <w:rFonts w:ascii="Tahoma" w:hAnsi="Tahoma" w:cs="Tahoma"/>
          <w:color w:val="000000"/>
          <w:sz w:val="20"/>
          <w:szCs w:val="20"/>
        </w:rPr>
      </w:pPr>
      <w:r>
        <w:rPr>
          <w:rFonts w:ascii="Tahoma" w:hAnsi="Tahoma" w:cs="Tahoma"/>
          <w:color w:val="000000"/>
          <w:sz w:val="20"/>
          <w:szCs w:val="20"/>
        </w:rPr>
        <w:t xml:space="preserve">In generale quando siamo di fronte ad una iniziativa potenzialmente pubblicitaria rappresentata da foto, gigantografie, disegni, </w:t>
      </w:r>
      <w:r w:rsidR="00BB608F">
        <w:rPr>
          <w:rFonts w:ascii="Tahoma" w:hAnsi="Tahoma" w:cs="Tahoma"/>
          <w:color w:val="000000"/>
          <w:sz w:val="20"/>
          <w:szCs w:val="20"/>
        </w:rPr>
        <w:t xml:space="preserve">tinteggiature, </w:t>
      </w:r>
      <w:proofErr w:type="spellStart"/>
      <w:r>
        <w:rPr>
          <w:rFonts w:ascii="Tahoma" w:hAnsi="Tahoma" w:cs="Tahoma"/>
          <w:color w:val="000000"/>
          <w:sz w:val="20"/>
          <w:szCs w:val="20"/>
        </w:rPr>
        <w:t>ecc</w:t>
      </w:r>
      <w:proofErr w:type="spellEnd"/>
      <w:r>
        <w:rPr>
          <w:rFonts w:ascii="Tahoma" w:hAnsi="Tahoma" w:cs="Tahoma"/>
          <w:color w:val="000000"/>
          <w:sz w:val="20"/>
          <w:szCs w:val="20"/>
        </w:rPr>
        <w:t xml:space="preserve">… possiamo porci </w:t>
      </w:r>
      <w:r w:rsidRPr="00635D6F">
        <w:rPr>
          <w:rFonts w:ascii="Tahoma" w:hAnsi="Tahoma" w:cs="Tahoma"/>
          <w:color w:val="000000"/>
          <w:sz w:val="20"/>
          <w:szCs w:val="20"/>
        </w:rPr>
        <w:t>queste domande:</w:t>
      </w:r>
    </w:p>
    <w:p w14:paraId="134BC426" w14:textId="13622AE1" w:rsidR="00083D5F" w:rsidRDefault="00BB608F" w:rsidP="00BB608F">
      <w:pPr>
        <w:pStyle w:val="Paragrafoelenco"/>
        <w:numPr>
          <w:ilvl w:val="0"/>
          <w:numId w:val="1"/>
        </w:numPr>
        <w:jc w:val="both"/>
        <w:rPr>
          <w:rFonts w:ascii="Tahoma" w:hAnsi="Tahoma" w:cs="Tahoma"/>
          <w:color w:val="000000"/>
          <w:sz w:val="20"/>
          <w:szCs w:val="20"/>
        </w:rPr>
      </w:pPr>
      <w:r w:rsidRPr="00BB608F">
        <w:rPr>
          <w:rFonts w:ascii="Tahoma" w:hAnsi="Tahoma" w:cs="Tahoma"/>
          <w:color w:val="000000"/>
          <w:sz w:val="20"/>
          <w:szCs w:val="20"/>
        </w:rPr>
        <w:t>Q</w:t>
      </w:r>
      <w:r w:rsidR="00083D5F" w:rsidRPr="00BB608F">
        <w:rPr>
          <w:rFonts w:ascii="Tahoma" w:hAnsi="Tahoma" w:cs="Tahoma"/>
          <w:color w:val="000000"/>
          <w:sz w:val="20"/>
          <w:szCs w:val="20"/>
        </w:rPr>
        <w:t xml:space="preserve">uali sono le motivazioni che hanno indotto </w:t>
      </w:r>
      <w:r w:rsidRPr="00BB608F">
        <w:rPr>
          <w:rFonts w:ascii="Tahoma" w:hAnsi="Tahoma" w:cs="Tahoma"/>
          <w:color w:val="000000"/>
          <w:sz w:val="20"/>
          <w:szCs w:val="20"/>
        </w:rPr>
        <w:t xml:space="preserve">a </w:t>
      </w:r>
      <w:r w:rsidR="0076025F">
        <w:rPr>
          <w:rFonts w:ascii="Tahoma" w:hAnsi="Tahoma" w:cs="Tahoma"/>
          <w:color w:val="000000"/>
          <w:sz w:val="20"/>
          <w:szCs w:val="20"/>
        </w:rPr>
        <w:t>realizzare una diffusione pubblicitaria</w:t>
      </w:r>
      <w:r w:rsidR="00083D5F" w:rsidRPr="00BB608F">
        <w:rPr>
          <w:rFonts w:ascii="Tahoma" w:hAnsi="Tahoma" w:cs="Tahoma"/>
          <w:color w:val="000000"/>
          <w:sz w:val="20"/>
          <w:szCs w:val="20"/>
        </w:rPr>
        <w:t>?</w:t>
      </w:r>
    </w:p>
    <w:p w14:paraId="3383C211" w14:textId="77777777" w:rsidR="00BB608F" w:rsidRPr="00BB608F" w:rsidRDefault="00BB608F" w:rsidP="00BB608F">
      <w:pPr>
        <w:pStyle w:val="Paragrafoelenco"/>
        <w:jc w:val="both"/>
        <w:rPr>
          <w:rFonts w:ascii="Tahoma" w:hAnsi="Tahoma" w:cs="Tahoma"/>
          <w:color w:val="000000"/>
          <w:sz w:val="20"/>
          <w:szCs w:val="20"/>
        </w:rPr>
      </w:pPr>
    </w:p>
    <w:p w14:paraId="7A4ED526" w14:textId="7AC94C33" w:rsidR="00BB608F" w:rsidRDefault="00BB608F" w:rsidP="00BB608F">
      <w:pPr>
        <w:pStyle w:val="Paragrafoelenco"/>
        <w:numPr>
          <w:ilvl w:val="0"/>
          <w:numId w:val="1"/>
        </w:numPr>
        <w:jc w:val="both"/>
        <w:rPr>
          <w:rFonts w:ascii="Tahoma" w:hAnsi="Tahoma" w:cs="Tahoma"/>
          <w:color w:val="000000"/>
          <w:sz w:val="20"/>
          <w:szCs w:val="20"/>
        </w:rPr>
      </w:pPr>
      <w:r w:rsidRPr="00BB608F">
        <w:rPr>
          <w:rFonts w:ascii="Tahoma" w:hAnsi="Tahoma" w:cs="Tahoma"/>
          <w:color w:val="000000"/>
          <w:sz w:val="20"/>
          <w:szCs w:val="20"/>
        </w:rPr>
        <w:t>C</w:t>
      </w:r>
      <w:r w:rsidR="00083D5F" w:rsidRPr="00BB608F">
        <w:rPr>
          <w:rFonts w:ascii="Tahoma" w:hAnsi="Tahoma" w:cs="Tahoma"/>
          <w:color w:val="000000"/>
          <w:sz w:val="20"/>
          <w:szCs w:val="20"/>
        </w:rPr>
        <w:t>iò che viene rappresentato</w:t>
      </w:r>
      <w:r w:rsidRPr="00BB608F">
        <w:rPr>
          <w:rFonts w:ascii="Tahoma" w:hAnsi="Tahoma" w:cs="Tahoma"/>
          <w:color w:val="000000"/>
          <w:sz w:val="20"/>
          <w:szCs w:val="20"/>
        </w:rPr>
        <w:t>, identifica l’attività e</w:t>
      </w:r>
      <w:r w:rsidR="00083D5F" w:rsidRPr="00BB608F">
        <w:rPr>
          <w:rFonts w:ascii="Tahoma" w:hAnsi="Tahoma" w:cs="Tahoma"/>
          <w:color w:val="000000"/>
          <w:sz w:val="20"/>
          <w:szCs w:val="20"/>
        </w:rPr>
        <w:t xml:space="preserve"> svolge funzione di richiamo all’occhio distratto del passante?</w:t>
      </w:r>
    </w:p>
    <w:p w14:paraId="4CB154A0" w14:textId="77777777" w:rsidR="00BB608F" w:rsidRDefault="00BB608F" w:rsidP="00BB608F">
      <w:pPr>
        <w:pStyle w:val="Paragrafoelenco"/>
        <w:jc w:val="both"/>
        <w:rPr>
          <w:rFonts w:ascii="Tahoma" w:hAnsi="Tahoma" w:cs="Tahoma"/>
          <w:color w:val="000000"/>
          <w:sz w:val="20"/>
          <w:szCs w:val="20"/>
        </w:rPr>
      </w:pPr>
    </w:p>
    <w:p w14:paraId="00ACD189" w14:textId="02D776F0" w:rsidR="00083D5F" w:rsidRPr="00BB608F" w:rsidRDefault="00BB608F" w:rsidP="00BB608F">
      <w:pPr>
        <w:pStyle w:val="Paragrafoelenco"/>
        <w:numPr>
          <w:ilvl w:val="0"/>
          <w:numId w:val="1"/>
        </w:numPr>
        <w:jc w:val="both"/>
        <w:rPr>
          <w:rFonts w:ascii="Tahoma" w:hAnsi="Tahoma" w:cs="Tahoma"/>
          <w:color w:val="000000"/>
          <w:sz w:val="20"/>
          <w:szCs w:val="20"/>
        </w:rPr>
      </w:pPr>
      <w:r w:rsidRPr="00BB608F">
        <w:rPr>
          <w:rFonts w:ascii="Tahoma" w:hAnsi="Tahoma" w:cs="Tahoma"/>
          <w:color w:val="000000"/>
          <w:sz w:val="20"/>
          <w:szCs w:val="20"/>
        </w:rPr>
        <w:t>E</w:t>
      </w:r>
      <w:r w:rsidR="00083D5F" w:rsidRPr="00BB608F">
        <w:rPr>
          <w:rFonts w:ascii="Tahoma" w:hAnsi="Tahoma" w:cs="Tahoma"/>
          <w:color w:val="000000"/>
          <w:sz w:val="20"/>
          <w:szCs w:val="20"/>
        </w:rPr>
        <w:t>siste relazione tra quanto esposto e l’attività esercitata?</w:t>
      </w:r>
    </w:p>
    <w:p w14:paraId="71DC4B13" w14:textId="42BED00A" w:rsidR="00083D5F" w:rsidRDefault="00083D5F" w:rsidP="00083D5F">
      <w:pPr>
        <w:jc w:val="both"/>
        <w:rPr>
          <w:rFonts w:ascii="Tahoma" w:hAnsi="Tahoma" w:cs="Tahoma"/>
          <w:color w:val="000000"/>
          <w:sz w:val="20"/>
          <w:szCs w:val="20"/>
        </w:rPr>
      </w:pPr>
      <w:r>
        <w:rPr>
          <w:rFonts w:ascii="Tahoma" w:hAnsi="Tahoma" w:cs="Tahoma"/>
          <w:color w:val="000000"/>
          <w:sz w:val="20"/>
          <w:szCs w:val="20"/>
        </w:rPr>
        <w:t xml:space="preserve">Rispondendo a queste tre domande sarà più facile capire ciò che possiamo ritenere all’interno del perimetro del presupposto e cosa </w:t>
      </w:r>
      <w:r w:rsidR="00BB608F">
        <w:rPr>
          <w:rFonts w:ascii="Tahoma" w:hAnsi="Tahoma" w:cs="Tahoma"/>
          <w:color w:val="000000"/>
          <w:sz w:val="20"/>
          <w:szCs w:val="20"/>
        </w:rPr>
        <w:t xml:space="preserve">invece </w:t>
      </w:r>
      <w:r>
        <w:rPr>
          <w:rFonts w:ascii="Tahoma" w:hAnsi="Tahoma" w:cs="Tahoma"/>
          <w:color w:val="000000"/>
          <w:sz w:val="20"/>
          <w:szCs w:val="20"/>
        </w:rPr>
        <w:t>no.</w:t>
      </w:r>
    </w:p>
    <w:p w14:paraId="09CF82E8" w14:textId="553A6741" w:rsidR="00BB608F" w:rsidRDefault="00BB608F" w:rsidP="00083D5F">
      <w:pPr>
        <w:jc w:val="both"/>
      </w:pPr>
      <w:r>
        <w:rPr>
          <w:rFonts w:ascii="Tahoma" w:hAnsi="Tahoma" w:cs="Tahoma"/>
          <w:color w:val="000000"/>
          <w:sz w:val="20"/>
          <w:szCs w:val="20"/>
        </w:rPr>
        <w:t xml:space="preserve">Nel caso in parola, è facile immaginare </w:t>
      </w:r>
      <w:r w:rsidR="0076025F">
        <w:rPr>
          <w:rFonts w:ascii="Tahoma" w:hAnsi="Tahoma" w:cs="Tahoma"/>
          <w:color w:val="000000"/>
          <w:sz w:val="20"/>
          <w:szCs w:val="20"/>
        </w:rPr>
        <w:t>come</w:t>
      </w:r>
      <w:r>
        <w:rPr>
          <w:rFonts w:ascii="Tahoma" w:hAnsi="Tahoma" w:cs="Tahoma"/>
          <w:color w:val="000000"/>
          <w:sz w:val="20"/>
          <w:szCs w:val="20"/>
        </w:rPr>
        <w:t xml:space="preserve"> la tinteggiatura</w:t>
      </w:r>
      <w:r w:rsidR="0076025F">
        <w:rPr>
          <w:rFonts w:ascii="Tahoma" w:hAnsi="Tahoma" w:cs="Tahoma"/>
          <w:color w:val="000000"/>
          <w:sz w:val="20"/>
          <w:szCs w:val="20"/>
        </w:rPr>
        <w:t xml:space="preserve"> della facciata della sede rappresentando i colori sociali, sia stata una iniziativa volta a dare risalto al proprio logo e quindi alla propria attività. Realizzando così un messaggio pubblicitario inteso come miglioramento dell’immagine e diffusione di ciò che identifica l’azienda. L’esposizione delle </w:t>
      </w:r>
      <w:r w:rsidR="0076025F">
        <w:t>strisce colorate</w:t>
      </w:r>
      <w:r w:rsidR="0076025F">
        <w:t xml:space="preserve">, già riportate </w:t>
      </w:r>
      <w:r w:rsidR="0076025F">
        <w:t>su cartelli, insegne e veicoli</w:t>
      </w:r>
      <w:r w:rsidR="0076025F">
        <w:t>, identifica certamente l’attività e, rappresentandola sull’intera facciata, svolge una chiara funzione di richiamo rispetto al potenziale pubblico. Infine è evidente come l’iniziativa di tinteggiare la facciata con strisce che riportano i colori della società crei una non celata relazione con l’attività svolta.</w:t>
      </w:r>
    </w:p>
    <w:p w14:paraId="2F2CE79B" w14:textId="50034CAC" w:rsidR="0076025F" w:rsidRDefault="0076025F" w:rsidP="00083D5F">
      <w:pPr>
        <w:jc w:val="both"/>
      </w:pPr>
      <w:r>
        <w:t xml:space="preserve">Altri casi </w:t>
      </w:r>
      <w:r w:rsidR="005A1C55">
        <w:t xml:space="preserve">in passato </w:t>
      </w:r>
      <w:r>
        <w:t xml:space="preserve">sono stati oggetto di valutazione. Spesso le situazioni portano a dare risposte scontate, dove risulta evidente l’attrazione al presupposto </w:t>
      </w:r>
      <w:r w:rsidR="00E229D7">
        <w:t>pubblicitario</w:t>
      </w:r>
      <w:r>
        <w:t xml:space="preserve">. Pensiamo ad esempio </w:t>
      </w:r>
      <w:r w:rsidR="00E229D7">
        <w:t>al</w:t>
      </w:r>
      <w:r>
        <w:t xml:space="preserve">l’esposizione di immagini </w:t>
      </w:r>
      <w:r w:rsidR="00E229D7">
        <w:t xml:space="preserve">sulle vetrine o sulla facciata dell’attività </w:t>
      </w:r>
      <w:r>
        <w:t xml:space="preserve">che rappresentano </w:t>
      </w:r>
      <w:r w:rsidR="00E229D7">
        <w:t>la merce o i servizi offerti</w:t>
      </w:r>
      <w:r w:rsidR="005A1C55">
        <w:t>,</w:t>
      </w:r>
      <w:r w:rsidR="00E229D7">
        <w:t xml:space="preserve"> casi dove si manifesta palesemente una volontà promozionale. In altre situazioni diventa più difficile valutare la oggettiva volontà di attivare un’azione volta a promuovere la propria attività, </w:t>
      </w:r>
      <w:r w:rsidR="005A1C55">
        <w:t xml:space="preserve">proprio </w:t>
      </w:r>
      <w:r w:rsidR="00E229D7">
        <w:t>come nel caso delle tinteggiature delle sedi.</w:t>
      </w:r>
      <w:r w:rsidR="005A1C55">
        <w:t xml:space="preserve"> N</w:t>
      </w:r>
      <w:r w:rsidR="00E229D7">
        <w:t>el caso in parola tuttavia, trattandosi di strisce colorate che riportano fedelmente i colori del logo,</w:t>
      </w:r>
      <w:r w:rsidR="005A1C55">
        <w:t xml:space="preserve"> sembra evidente e non casuale l’utilizzo dei colori sociali, così che</w:t>
      </w:r>
      <w:r w:rsidR="00E229D7">
        <w:t xml:space="preserve"> si ritiene corretto procedere all’applicazione del Canone Unico che verrà </w:t>
      </w:r>
      <w:r w:rsidR="005A1C55">
        <w:t xml:space="preserve">di conseguenza </w:t>
      </w:r>
      <w:r w:rsidR="00E229D7">
        <w:t>definito sull’intera superficie dedicata alla diffusione del messaggio pubblicitario.</w:t>
      </w:r>
      <w:r>
        <w:t xml:space="preserve"> </w:t>
      </w:r>
    </w:p>
    <w:p w14:paraId="1C1F4EA3" w14:textId="3520ACFE" w:rsidR="00E229D7" w:rsidRDefault="00E229D7" w:rsidP="00083D5F">
      <w:pPr>
        <w:jc w:val="both"/>
        <w:rPr>
          <w:rFonts w:ascii="Tahoma" w:hAnsi="Tahoma" w:cs="Tahoma"/>
          <w:color w:val="000000"/>
          <w:sz w:val="20"/>
          <w:szCs w:val="20"/>
        </w:rPr>
      </w:pPr>
      <w:r>
        <w:t xml:space="preserve">Fatte queste valutazioni, per una </w:t>
      </w:r>
      <w:r w:rsidR="005A1C55">
        <w:t xml:space="preserve">eventuale </w:t>
      </w:r>
      <w:r>
        <w:t xml:space="preserve">valutazione finale del caso, ci si rende disponibili ad un confronto diretto sulle immagini che vorrete inviarci, eventualmente disponibili anche da street </w:t>
      </w:r>
      <w:proofErr w:type="spellStart"/>
      <w:r>
        <w:t>view</w:t>
      </w:r>
      <w:proofErr w:type="spellEnd"/>
      <w:r>
        <w:t xml:space="preserve"> di </w:t>
      </w:r>
      <w:proofErr w:type="spellStart"/>
      <w:r>
        <w:t>google</w:t>
      </w:r>
      <w:proofErr w:type="spellEnd"/>
      <w:r>
        <w:t xml:space="preserve"> </w:t>
      </w:r>
      <w:proofErr w:type="spellStart"/>
      <w:r>
        <w:t>maps</w:t>
      </w:r>
      <w:proofErr w:type="spellEnd"/>
      <w:r>
        <w:t>.</w:t>
      </w:r>
    </w:p>
    <w:p w14:paraId="09CC4FB8" w14:textId="685DF8A8" w:rsidR="00060149" w:rsidRDefault="00060149" w:rsidP="00083D5F"/>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A7E64"/>
    <w:multiLevelType w:val="hybridMultilevel"/>
    <w:tmpl w:val="C81693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47645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16"/>
    <w:rsid w:val="000065E3"/>
    <w:rsid w:val="00060149"/>
    <w:rsid w:val="00083D5F"/>
    <w:rsid w:val="001A6D16"/>
    <w:rsid w:val="001D56BA"/>
    <w:rsid w:val="005A1C55"/>
    <w:rsid w:val="0076025F"/>
    <w:rsid w:val="00BB608F"/>
    <w:rsid w:val="00E229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23C4"/>
  <w15:chartTrackingRefBased/>
  <w15:docId w15:val="{DBFF6954-8EBD-46A0-BA49-7F280545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B60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3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863</Words>
  <Characters>4923</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4</cp:revision>
  <dcterms:created xsi:type="dcterms:W3CDTF">2023-05-03T16:07:00Z</dcterms:created>
  <dcterms:modified xsi:type="dcterms:W3CDTF">2023-05-03T17:20:00Z</dcterms:modified>
</cp:coreProperties>
</file>