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9C86" w14:textId="77777777" w:rsidR="00060149" w:rsidRDefault="00060149"/>
    <w:p w14:paraId="5D854035" w14:textId="77777777" w:rsidR="000A4088" w:rsidRDefault="000A4088"/>
    <w:p w14:paraId="042E2592" w14:textId="77777777" w:rsidR="000A4088" w:rsidRPr="000A4088" w:rsidRDefault="000A4088" w:rsidP="000A4088">
      <w:r w:rsidRPr="000A4088">
        <w:t>Il tribunale di Padova </w:t>
      </w:r>
      <w:r w:rsidRPr="000A4088">
        <w:rPr>
          <w:b/>
          <w:bCs/>
        </w:rPr>
        <w:t>TRIBUNALE DI PADOVA s. 674  del 22/04/2025. </w:t>
      </w:r>
      <w:r w:rsidRPr="000A4088">
        <w:t> conferma l’adeguamento ISTAT anche per il canone determinato in misura fissa dovuto dal soggetto che mette a disposizione l’infrastruttura ai diversi partner che erogano servizi di telefonia</w:t>
      </w:r>
    </w:p>
    <w:p w14:paraId="79640151" w14:textId="77777777" w:rsidR="000A4088" w:rsidRPr="000A4088" w:rsidRDefault="000A4088" w:rsidP="000A4088">
      <w:r w:rsidRPr="000A4088">
        <w:t>Il ricorrente è venditore all’ingrosso (cd. </w:t>
      </w:r>
      <w:r w:rsidRPr="000A4088">
        <w:rPr>
          <w:i/>
          <w:iCs/>
        </w:rPr>
        <w:t>wholesale only</w:t>
      </w:r>
      <w:r w:rsidRPr="000A4088">
        <w:t>) e mette la propria infrastruttura a disposizione dei diversi partner (Vodafone, Fastweb, Wind ecc..), corrispondendo annualmente a ciascun ente locale ove è titolare di concessione di occupazione di suolo pubblico l’importo forfettario di € 800,00 previsto per legge. Secondo il ricorrente, la rivalutazione annuale ISTAT riguarda esclusivamente i canoni versati in maniera proporzionale alle utenze effettivamente servite</w:t>
      </w:r>
    </w:p>
    <w:p w14:paraId="0C9371DF" w14:textId="77777777" w:rsidR="000A4088" w:rsidRPr="000A4088" w:rsidRDefault="000A4088" w:rsidP="000A4088">
      <w:r w:rsidRPr="000A4088">
        <w:t>Secondo il tribunale, il comma 831 bis della Legge 160/2019 (canone antenne)  sconfessa l’impostazione dell’appellante che nega l’adeguamento ISTAT degli importi calcolati in misura fissa. La norma in parola stabilisce infatti espressamente che è rivalutato annualmente il canone fisso di € 800,00 che il titolare delle infrastrutture di rete è tenuto a pagare per ogni impianto collocato nel territorio di ciascun ente: </w:t>
      </w:r>
      <w:r w:rsidRPr="000A4088">
        <w:rPr>
          <w:b/>
          <w:bCs/>
        </w:rPr>
        <w:t>cosicché, l’adeguamento all’ISTAT è dovuto anche in relazione al canone determinato in misura fissa. La </w:t>
      </w:r>
      <w:r w:rsidRPr="000A4088">
        <w:t>norma richiamata assoggetta espressamente ad adeguamento ISTAT “gli importi”, genericamente indicandoli e senza distinguere in alcun modo tra canone dovuto in misura fissa o in misura variabile:</w:t>
      </w:r>
    </w:p>
    <w:p w14:paraId="0F842BCA" w14:textId="77777777" w:rsidR="000A4088" w:rsidRPr="000A4088" w:rsidRDefault="000A4088" w:rsidP="000A4088">
      <w:r w:rsidRPr="000A4088">
        <w:t>Inoltre, si conferma la competenza del foro di Padova per gli avvisi di accertamento emessi da quale concessionario incaricato dai Comuni collocati nel distretto di Padova: l’art. 32  D.Lgs n. 150/2011, a seguito del recente intervento della Corte Costituzionale (con sentenza n. 158/2019), prevede infatti espressamente che, in caso di concessione della riscossione delle entrate patrimoniali dell’ente locale, la competenza è radicata nel luogo in cui ha sede quest’ultimo</w:t>
      </w:r>
    </w:p>
    <w:p w14:paraId="1A84B102" w14:textId="77777777" w:rsidR="000A4088" w:rsidRDefault="000A4088"/>
    <w:sectPr w:rsidR="000A40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6D"/>
    <w:rsid w:val="00060149"/>
    <w:rsid w:val="000A4088"/>
    <w:rsid w:val="002E706D"/>
    <w:rsid w:val="003E585E"/>
    <w:rsid w:val="007B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8F31"/>
  <w15:chartTrackingRefBased/>
  <w15:docId w15:val="{1E47094D-466B-4252-9AA8-628B6F90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7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7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7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7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7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706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706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70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70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70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70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70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70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706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7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706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7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2025-07-01T08:52:00Z</dcterms:created>
  <dcterms:modified xsi:type="dcterms:W3CDTF">2025-07-01T08:52:00Z</dcterms:modified>
</cp:coreProperties>
</file>