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84333" w14:textId="3190E715" w:rsidR="00060149" w:rsidRDefault="00C31042">
      <w:r>
        <w:t>Titolo: CUP - aggiornamento ISTAT 2024</w:t>
      </w:r>
      <w:r w:rsidR="00B809AC">
        <w:t xml:space="preserve"> delle tariffe per i servizi di rete</w:t>
      </w:r>
    </w:p>
    <w:p w14:paraId="3CEC2B12" w14:textId="7C18EA05" w:rsidR="00B809AC" w:rsidRDefault="00B809AC">
      <w:r>
        <w:t>Autore: Alessandro Merciari</w:t>
      </w:r>
    </w:p>
    <w:p w14:paraId="6B4648A1" w14:textId="07E17854" w:rsidR="00C31042" w:rsidRDefault="00C21DD7" w:rsidP="00B809AC">
      <w:pPr>
        <w:jc w:val="both"/>
      </w:pPr>
      <w:r>
        <w:t>Con il comunicato stampa pubblicato sul sito dell’Istat del 16 gennaio 2024, sono stati resi pubblici i dati relativi l’andamento dei prezzi al consumo del 2023.</w:t>
      </w:r>
    </w:p>
    <w:p w14:paraId="64168514" w14:textId="0763A82E" w:rsidR="00C21DD7" w:rsidRDefault="00460F6F" w:rsidP="00B809AC">
      <w:pPr>
        <w:jc w:val="both"/>
      </w:pPr>
      <w:r>
        <w:t xml:space="preserve">In </w:t>
      </w:r>
      <w:r w:rsidRPr="00C21DD7">
        <w:t>media</w:t>
      </w:r>
      <w:r w:rsidR="00C21DD7" w:rsidRPr="00C21DD7">
        <w:t>, nel 2023 i prezzi al consumo registrano una crescita del 5,7% (+8,1% nel 2022). Al netto degli energetici e degli alimentari freschi (l’“inflazione di fondo”), i prezzi al consumo crescono del 5,1% (+3,8% nell’anno precedente) e al netto dei soli energetici del 5,3% (+4,1% nel 2022).</w:t>
      </w:r>
    </w:p>
    <w:p w14:paraId="50081CA1" w14:textId="21EA5579" w:rsidR="00C31042" w:rsidRDefault="00C21DD7" w:rsidP="00B809AC">
      <w:pPr>
        <w:jc w:val="both"/>
      </w:pPr>
      <w:r>
        <w:t>Ai fini dell’aggiornamento delle tariffe del Canone Unico Patrimoniale,</w:t>
      </w:r>
      <w:r w:rsidR="009743A9">
        <w:t xml:space="preserve"> tuttavia dobbiamo concentrare l’attenzione sull</w:t>
      </w:r>
      <w:r w:rsidR="00C31042" w:rsidRPr="00C31042">
        <w:t xml:space="preserve">’indice </w:t>
      </w:r>
      <w:r w:rsidR="0012397A">
        <w:t>nazionale</w:t>
      </w:r>
      <w:r w:rsidR="00C31042" w:rsidRPr="00C31042">
        <w:t xml:space="preserve"> dei prezzi al consumo per le famiglie di operai e impiegati (FOI), al netto dei tabacchi, </w:t>
      </w:r>
      <w:r w:rsidR="00460F6F">
        <w:t xml:space="preserve">che risulta </w:t>
      </w:r>
      <w:r w:rsidR="00C31042" w:rsidRPr="00C31042">
        <w:t>aumenta</w:t>
      </w:r>
      <w:r w:rsidR="00460F6F">
        <w:t>to</w:t>
      </w:r>
      <w:r w:rsidR="00C31042" w:rsidRPr="00C31042">
        <w:t xml:space="preserve"> dello 0,2% su base mensile e </w:t>
      </w:r>
      <w:r w:rsidR="00C31042" w:rsidRPr="00B569BE">
        <w:rPr>
          <w:b/>
          <w:bCs/>
        </w:rPr>
        <w:t>dello 0,6% rispetto a dicembre 2022</w:t>
      </w:r>
      <w:r w:rsidR="009743A9">
        <w:t>, mentre l</w:t>
      </w:r>
      <w:r w:rsidR="00C31042" w:rsidRPr="00C31042">
        <w:t>a variazione media annua del (FOI), al netto dei tabacchi, del 2023 è pari a</w:t>
      </w:r>
      <w:r w:rsidR="00460F6F">
        <w:t>l</w:t>
      </w:r>
      <w:r w:rsidR="00C31042" w:rsidRPr="00C31042">
        <w:t xml:space="preserve"> +5,4% (era +8,1% nel 2022).</w:t>
      </w:r>
    </w:p>
    <w:p w14:paraId="36630DF4" w14:textId="0070DC08" w:rsidR="00460F6F" w:rsidRPr="00B569BE" w:rsidRDefault="00460F6F" w:rsidP="00B809AC">
      <w:pPr>
        <w:jc w:val="both"/>
        <w:rPr>
          <w:i/>
          <w:iCs/>
        </w:rPr>
      </w:pPr>
      <w:r>
        <w:t xml:space="preserve">La normativa relativa le occupazioni realizzate con cavi e conduttore da parte delle aziende di erogazione di pubblici servizi, è disciplinata </w:t>
      </w:r>
      <w:r w:rsidR="00B809AC">
        <w:t xml:space="preserve">come noto </w:t>
      </w:r>
      <w:r>
        <w:t xml:space="preserve">dal comma 831 dell’articolo 1 della Legge 160/2019, </w:t>
      </w:r>
      <w:r w:rsidR="00B809AC">
        <w:t>che prevede: “</w:t>
      </w:r>
      <w:r w:rsidRPr="00B569BE">
        <w:rPr>
          <w:i/>
          <w:iCs/>
        </w:rPr>
        <w:t xml:space="preserve">…Gli importi </w:t>
      </w:r>
      <w:r w:rsidR="009743A9" w:rsidRPr="00B569BE">
        <w:rPr>
          <w:i/>
          <w:iCs/>
        </w:rPr>
        <w:t>sono rivalutati annualmente</w:t>
      </w:r>
      <w:r w:rsidRPr="00B569BE">
        <w:rPr>
          <w:i/>
          <w:iCs/>
        </w:rPr>
        <w:t xml:space="preserve">  in base all'indice ISTAT dei prezzi al consumo rilevati al  31  dicembre dell'anno precedente…</w:t>
      </w:r>
      <w:r w:rsidR="00B569BE">
        <w:rPr>
          <w:i/>
          <w:iCs/>
        </w:rPr>
        <w:t>”</w:t>
      </w:r>
    </w:p>
    <w:p w14:paraId="111B147F" w14:textId="0E79C1E9" w:rsidR="00460F6F" w:rsidRDefault="00B809AC" w:rsidP="00B809AC">
      <w:pPr>
        <w:jc w:val="both"/>
      </w:pPr>
      <w:r>
        <w:t>Il</w:t>
      </w:r>
      <w:r w:rsidR="00460F6F">
        <w:t xml:space="preserve"> legislatore ha fissato le tariffe ad utenza a cui fare riferimento, individuandole in due fasce in base alla popolazione del Comune, prevedendo</w:t>
      </w:r>
      <w:r w:rsidR="00B569BE">
        <w:t xml:space="preserve"> anche un importo minimo di versamento, e stabilendo come </w:t>
      </w:r>
      <w:r w:rsidR="009743A9">
        <w:t>detto l’adeguamento</w:t>
      </w:r>
      <w:r w:rsidR="00460F6F">
        <w:t xml:space="preserve"> annuale degli IMPORTI in base all’indice ISTAT dei prezzi al consumo rilevati al 31 dicembre dell’anno precedente.</w:t>
      </w:r>
    </w:p>
    <w:p w14:paraId="56EE1138" w14:textId="4AA592EE" w:rsidR="00460F6F" w:rsidRDefault="00460F6F" w:rsidP="00B809AC">
      <w:pPr>
        <w:jc w:val="both"/>
      </w:pPr>
      <w:r>
        <w:t xml:space="preserve">Proprio questa formulazione utilizzata dal Legislatore porta a ritenere che anche la soglia minima di 800 euro debba essere rivalutata così come </w:t>
      </w:r>
      <w:r w:rsidR="00B53FC2">
        <w:t xml:space="preserve">accade per </w:t>
      </w:r>
      <w:r>
        <w:t>le due misure di tariffe.</w:t>
      </w:r>
    </w:p>
    <w:p w14:paraId="2000488F" w14:textId="3A4C61AD" w:rsidR="009743A9" w:rsidRDefault="009743A9" w:rsidP="00B809AC">
      <w:pPr>
        <w:jc w:val="both"/>
        <w:rPr>
          <w:i/>
          <w:iCs/>
        </w:rPr>
      </w:pPr>
      <w:r>
        <w:t xml:space="preserve">Stessa sorte per la tariffa indicata al successivo comma 831bis, norma introdotta dal </w:t>
      </w:r>
      <w:r w:rsidRPr="009743A9">
        <w:t>D.L. 77/2021</w:t>
      </w:r>
      <w:r>
        <w:t>, per regolare il pagamento da parte degl</w:t>
      </w:r>
      <w:r w:rsidRPr="009743A9">
        <w:t>i operatori che forniscono i servizi di pubblica utilità di reti e infrastrutture di comunicazione elettronica</w:t>
      </w:r>
      <w:r>
        <w:t>.  In questo caso i</w:t>
      </w:r>
      <w:r>
        <w:t>l Legislatore</w:t>
      </w:r>
      <w:r w:rsidR="000B2E6C">
        <w:t>,</w:t>
      </w:r>
      <w:r>
        <w:t xml:space="preserve"> nel definire il presupposto</w:t>
      </w:r>
      <w:r w:rsidR="000B2E6C">
        <w:t>,</w:t>
      </w:r>
      <w:r>
        <w:t xml:space="preserve"> ha voluto determinare il canone non legandolo alle utenze servite da queste aziende che distribuiscono pubblici servizi</w:t>
      </w:r>
      <w:r>
        <w:t>, ma stabilendolo in misura</w:t>
      </w:r>
      <w:r>
        <w:t xml:space="preserve"> fissa di 800 euro</w:t>
      </w:r>
      <w:r w:rsidR="000B2E6C">
        <w:t>, s</w:t>
      </w:r>
      <w:r w:rsidR="008F450E">
        <w:t xml:space="preserve">tabilendo che la </w:t>
      </w:r>
      <w:r w:rsidR="000B2E6C">
        <w:t xml:space="preserve">stessa </w:t>
      </w:r>
      <w:r w:rsidR="008F450E">
        <w:t xml:space="preserve">tariffa dovrà, al pari di quella del comma 831, essere aggiornata all’indice Istat. Nella norma </w:t>
      </w:r>
      <w:r w:rsidR="000B2E6C">
        <w:t xml:space="preserve">infatti </w:t>
      </w:r>
      <w:r w:rsidR="008F450E">
        <w:t xml:space="preserve">si Legge: </w:t>
      </w:r>
      <w:r w:rsidR="008F450E" w:rsidRPr="008F450E">
        <w:rPr>
          <w:i/>
          <w:iCs/>
        </w:rPr>
        <w:t>“</w:t>
      </w:r>
      <w:r w:rsidR="008F450E" w:rsidRPr="008F450E">
        <w:rPr>
          <w:i/>
          <w:iCs/>
        </w:rPr>
        <w:t>I relativi importi sono rivalutati annualmente in base all’indice ISTAT dei prezzi al consumo rilevati al 31 dicembre dell’anno precedente.</w:t>
      </w:r>
      <w:r w:rsidR="008F450E" w:rsidRPr="008F450E">
        <w:rPr>
          <w:i/>
          <w:iCs/>
        </w:rPr>
        <w:t>”</w:t>
      </w:r>
    </w:p>
    <w:p w14:paraId="3FAF85B5" w14:textId="3649E42F" w:rsidR="000B2E6C" w:rsidRPr="000B2E6C" w:rsidRDefault="000B2E6C" w:rsidP="00B809AC">
      <w:pPr>
        <w:jc w:val="both"/>
      </w:pPr>
      <w:r>
        <w:t>Definito quindi l’ambito di applicazione dell’adeguamento Istat che coinvolge due commi relativi le occupazioni realizzate per l’erogazione dei servizi di rete, vediamo di seguito quale è stata l’evoluzione delle tariffe e della soglia minima rispetto ai valori indicati dal Legislatore in prima applicazione.</w:t>
      </w:r>
    </w:p>
    <w:p w14:paraId="06177D52" w14:textId="74E98DD1" w:rsidR="00460F6F" w:rsidRDefault="000B2E6C" w:rsidP="00B809AC">
      <w:pPr>
        <w:jc w:val="both"/>
      </w:pPr>
      <w:r>
        <w:t>P</w:t>
      </w:r>
      <w:r w:rsidR="008F450E">
        <w:t xml:space="preserve">er l’anno 2022 si è registrato </w:t>
      </w:r>
      <w:r w:rsidR="00460F6F">
        <w:t xml:space="preserve">un indice FOI del 3,8% che ha portato le tariffe a </w:t>
      </w:r>
      <w:r w:rsidR="00B809AC">
        <w:t>registrare il</w:t>
      </w:r>
      <w:r w:rsidR="00460F6F">
        <w:t xml:space="preserve"> seguente incremento:</w:t>
      </w:r>
    </w:p>
    <w:p w14:paraId="4E2F5C73" w14:textId="77777777" w:rsidR="00460F6F" w:rsidRDefault="00460F6F" w:rsidP="00B809AC">
      <w:pPr>
        <w:jc w:val="both"/>
      </w:pPr>
      <w:r>
        <w:t xml:space="preserve">tariffa Comuni fino a 20.000 abitanti da Euro 1,50 a Euro 1,56 </w:t>
      </w:r>
    </w:p>
    <w:p w14:paraId="09FA8152" w14:textId="77777777" w:rsidR="00460F6F" w:rsidRDefault="00460F6F" w:rsidP="00B809AC">
      <w:pPr>
        <w:jc w:val="both"/>
      </w:pPr>
      <w:r>
        <w:t xml:space="preserve">tariffa Comuni oltre 20.000 abitanti da Euro 1,00 a Euro 1,04 </w:t>
      </w:r>
    </w:p>
    <w:p w14:paraId="6A3FDC96" w14:textId="77777777" w:rsidR="00460F6F" w:rsidRDefault="00460F6F" w:rsidP="00B809AC">
      <w:pPr>
        <w:jc w:val="both"/>
      </w:pPr>
      <w:r>
        <w:t xml:space="preserve">importo minimo versamento da Euro 800,00 a Euro 830,40 </w:t>
      </w:r>
    </w:p>
    <w:p w14:paraId="0B0F2971" w14:textId="46B7A5B3" w:rsidR="00B809AC" w:rsidRDefault="000B2E6C" w:rsidP="00B809AC">
      <w:pPr>
        <w:jc w:val="both"/>
      </w:pPr>
      <w:r>
        <w:t>P</w:t>
      </w:r>
      <w:r w:rsidR="00460F6F">
        <w:t xml:space="preserve">er </w:t>
      </w:r>
      <w:r w:rsidR="008F450E">
        <w:t>l’anno</w:t>
      </w:r>
      <w:r w:rsidR="00460F6F">
        <w:t xml:space="preserve"> 2023, </w:t>
      </w:r>
      <w:r w:rsidR="008F450E">
        <w:t xml:space="preserve">si è registrato un indice FOI </w:t>
      </w:r>
      <w:r w:rsidR="00460F6F">
        <w:t xml:space="preserve">del 11,3% </w:t>
      </w:r>
      <w:r w:rsidR="00B809AC">
        <w:t xml:space="preserve">che ha portato le tariffe a </w:t>
      </w:r>
      <w:r w:rsidR="00B809AC">
        <w:t xml:space="preserve">registrare </w:t>
      </w:r>
      <w:r>
        <w:t xml:space="preserve">un </w:t>
      </w:r>
      <w:r w:rsidR="00B809AC">
        <w:t xml:space="preserve">ulteriore </w:t>
      </w:r>
      <w:r w:rsidR="00B809AC">
        <w:t xml:space="preserve"> incremento:</w:t>
      </w:r>
    </w:p>
    <w:p w14:paraId="2740F0BB" w14:textId="77777777" w:rsidR="00460F6F" w:rsidRDefault="00460F6F" w:rsidP="00B809AC">
      <w:pPr>
        <w:jc w:val="both"/>
      </w:pPr>
      <w:r>
        <w:t xml:space="preserve">tariffa Comuni fino a 20.000 abitanti da Euro 1,56 a Euro 1,74 </w:t>
      </w:r>
    </w:p>
    <w:p w14:paraId="015FEFEF" w14:textId="77777777" w:rsidR="00460F6F" w:rsidRDefault="00460F6F" w:rsidP="00B809AC">
      <w:pPr>
        <w:jc w:val="both"/>
      </w:pPr>
      <w:r>
        <w:t xml:space="preserve">tariffa Comuni oltre 20.000 abitanti da Euro 1,04 a Euro 1,16 </w:t>
      </w:r>
    </w:p>
    <w:p w14:paraId="1111E5AC" w14:textId="58844790" w:rsidR="00460F6F" w:rsidRDefault="00460F6F" w:rsidP="00B809AC">
      <w:pPr>
        <w:jc w:val="both"/>
      </w:pPr>
      <w:r>
        <w:lastRenderedPageBreak/>
        <w:t>importo minimo versamento da Euro 830,40 a Euro 924,24</w:t>
      </w:r>
    </w:p>
    <w:p w14:paraId="2AE33F14" w14:textId="5258F4F2" w:rsidR="00B809AC" w:rsidRDefault="000B2E6C" w:rsidP="00B809AC">
      <w:pPr>
        <w:jc w:val="both"/>
      </w:pPr>
      <w:r>
        <w:t xml:space="preserve">Infine </w:t>
      </w:r>
      <w:r w:rsidR="00FF4582">
        <w:t>per l’anno 2024</w:t>
      </w:r>
      <w:r w:rsidR="00FF4582">
        <w:t xml:space="preserve">, </w:t>
      </w:r>
      <w:r>
        <w:t xml:space="preserve">a seguito del </w:t>
      </w:r>
      <w:r>
        <w:t xml:space="preserve">comunicato </w:t>
      </w:r>
      <w:r>
        <w:t xml:space="preserve">pubblicato il </w:t>
      </w:r>
      <w:r>
        <w:t xml:space="preserve"> 16 gennaio</w:t>
      </w:r>
      <w:r>
        <w:t xml:space="preserve">, </w:t>
      </w:r>
      <w:r w:rsidR="00B809AC">
        <w:t xml:space="preserve"> si è registrato un </w:t>
      </w:r>
      <w:r w:rsidR="00FF4582">
        <w:t>incremento dell’</w:t>
      </w:r>
      <w:r w:rsidR="00B809AC">
        <w:t xml:space="preserve">indice FOI </w:t>
      </w:r>
      <w:r w:rsidR="00FF4582">
        <w:t xml:space="preserve">rispetto al dicembre precedente </w:t>
      </w:r>
      <w:r>
        <w:t>pari allo</w:t>
      </w:r>
      <w:r w:rsidR="00B809AC">
        <w:t xml:space="preserve"> </w:t>
      </w:r>
      <w:r w:rsidR="00B809AC">
        <w:t>0,6</w:t>
      </w:r>
      <w:r w:rsidR="00B809AC">
        <w:t xml:space="preserve">% che </w:t>
      </w:r>
      <w:r w:rsidR="00FF4582">
        <w:t>porterà</w:t>
      </w:r>
      <w:r w:rsidR="00B809AC">
        <w:t xml:space="preserve"> le tariffe a registrare  il seguente ulteriore  incremento:</w:t>
      </w:r>
    </w:p>
    <w:p w14:paraId="6AF7B954" w14:textId="2AB2ADA2" w:rsidR="00B809AC" w:rsidRDefault="00B809AC" w:rsidP="00B809AC">
      <w:pPr>
        <w:jc w:val="both"/>
      </w:pPr>
      <w:r>
        <w:t>tariffa Comuni fino a 20.000 abitanti da Euro 1,</w:t>
      </w:r>
      <w:r>
        <w:t>74</w:t>
      </w:r>
      <w:r>
        <w:t xml:space="preserve"> a </w:t>
      </w:r>
      <w:r w:rsidRPr="00B809AC">
        <w:rPr>
          <w:b/>
          <w:bCs/>
        </w:rPr>
        <w:t>Euro 1,7</w:t>
      </w:r>
      <w:r w:rsidRPr="00B809AC">
        <w:rPr>
          <w:b/>
          <w:bCs/>
        </w:rPr>
        <w:t>50</w:t>
      </w:r>
      <w:r>
        <w:t xml:space="preserve"> </w:t>
      </w:r>
    </w:p>
    <w:p w14:paraId="3C8DCE44" w14:textId="178E7ED1" w:rsidR="00B809AC" w:rsidRDefault="00B809AC" w:rsidP="00B809AC">
      <w:pPr>
        <w:jc w:val="both"/>
      </w:pPr>
      <w:r>
        <w:t>tariffa Comuni oltre 20.000 abitanti da Euro 1,</w:t>
      </w:r>
      <w:r>
        <w:t>16</w:t>
      </w:r>
      <w:r>
        <w:t xml:space="preserve"> a </w:t>
      </w:r>
      <w:r w:rsidRPr="00B809AC">
        <w:rPr>
          <w:b/>
          <w:bCs/>
        </w:rPr>
        <w:t>Euro 1,</w:t>
      </w:r>
      <w:r w:rsidRPr="00B809AC">
        <w:rPr>
          <w:b/>
          <w:bCs/>
        </w:rPr>
        <w:t>167</w:t>
      </w:r>
      <w:r>
        <w:t xml:space="preserve"> (Euro 1,17 con arrotondamento a 2 decimali)</w:t>
      </w:r>
    </w:p>
    <w:p w14:paraId="272EDF32" w14:textId="01D9B993" w:rsidR="00B809AC" w:rsidRDefault="00B809AC" w:rsidP="00B809AC">
      <w:pPr>
        <w:jc w:val="both"/>
      </w:pPr>
      <w:r>
        <w:t xml:space="preserve">importo minimo versamento da Euro </w:t>
      </w:r>
      <w:r>
        <w:t>924,24</w:t>
      </w:r>
      <w:r>
        <w:t xml:space="preserve"> a </w:t>
      </w:r>
      <w:r w:rsidRPr="00B809AC">
        <w:rPr>
          <w:b/>
          <w:bCs/>
        </w:rPr>
        <w:t>Euro 92</w:t>
      </w:r>
      <w:r w:rsidRPr="00B809AC">
        <w:rPr>
          <w:b/>
          <w:bCs/>
        </w:rPr>
        <w:t>9</w:t>
      </w:r>
      <w:r w:rsidRPr="00B809AC">
        <w:rPr>
          <w:b/>
          <w:bCs/>
        </w:rPr>
        <w:t>,</w:t>
      </w:r>
      <w:r w:rsidRPr="00B809AC">
        <w:rPr>
          <w:b/>
          <w:bCs/>
        </w:rPr>
        <w:t>946</w:t>
      </w:r>
      <w:r>
        <w:t xml:space="preserve"> </w:t>
      </w:r>
      <w:r>
        <w:t xml:space="preserve">(Euro </w:t>
      </w:r>
      <w:r>
        <w:t>929,95</w:t>
      </w:r>
      <w:r>
        <w:t xml:space="preserve"> con arrotondamento a 2 decimali)</w:t>
      </w:r>
    </w:p>
    <w:p w14:paraId="62FD4F97" w14:textId="22E2C6B5" w:rsidR="00B809AC" w:rsidRDefault="00B809AC" w:rsidP="00B809AC">
      <w:pPr>
        <w:jc w:val="both"/>
      </w:pPr>
      <w:r>
        <w:t xml:space="preserve">Queste le nuove tariffe di riferimento per le aziende che erogano servizi di rete </w:t>
      </w:r>
      <w:r w:rsidR="004B302E">
        <w:t xml:space="preserve">chiamate entro il 30 aprile a versare il CUP in relazione alle loro </w:t>
      </w:r>
      <w:r>
        <w:t xml:space="preserve">occupazioni permanenti </w:t>
      </w:r>
      <w:r w:rsidR="004B302E">
        <w:t>effettuate con cavi e condutture.</w:t>
      </w:r>
    </w:p>
    <w:sectPr w:rsidR="00B809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45C75"/>
    <w:multiLevelType w:val="hybridMultilevel"/>
    <w:tmpl w:val="5184924C"/>
    <w:lvl w:ilvl="0" w:tplc="39EA13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65478"/>
    <w:multiLevelType w:val="hybridMultilevel"/>
    <w:tmpl w:val="E4B6AD7E"/>
    <w:lvl w:ilvl="0" w:tplc="7EF4F894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984814657">
    <w:abstractNumId w:val="1"/>
  </w:num>
  <w:num w:numId="2" w16cid:durableId="46755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94"/>
    <w:rsid w:val="00060149"/>
    <w:rsid w:val="000B2E6C"/>
    <w:rsid w:val="0012397A"/>
    <w:rsid w:val="00460F6F"/>
    <w:rsid w:val="004B302E"/>
    <w:rsid w:val="00556494"/>
    <w:rsid w:val="008F450E"/>
    <w:rsid w:val="009743A9"/>
    <w:rsid w:val="00B53FC2"/>
    <w:rsid w:val="00B569BE"/>
    <w:rsid w:val="00B809AC"/>
    <w:rsid w:val="00C21DD7"/>
    <w:rsid w:val="00C31042"/>
    <w:rsid w:val="00FF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164DD"/>
  <w15:chartTrackingRefBased/>
  <w15:docId w15:val="{3616D58B-FC8B-4881-A2BF-FB1E27F8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F4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6</cp:revision>
  <dcterms:created xsi:type="dcterms:W3CDTF">2024-01-17T07:16:00Z</dcterms:created>
  <dcterms:modified xsi:type="dcterms:W3CDTF">2024-01-17T15:48:00Z</dcterms:modified>
</cp:coreProperties>
</file>