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77C2" w14:textId="6125372E" w:rsidR="00060149" w:rsidRDefault="00813A40">
      <w:r>
        <w:t xml:space="preserve">Titolo: </w:t>
      </w:r>
      <w:r w:rsidRPr="00813A40">
        <w:t xml:space="preserve">Anche il TAR Veneto legittima l'uso dei </w:t>
      </w:r>
      <w:r w:rsidR="00E77AD4" w:rsidRPr="00813A40">
        <w:t>coefficienti</w:t>
      </w:r>
      <w:r w:rsidRPr="00813A40">
        <w:t xml:space="preserve"> per le tariffe CUP</w:t>
      </w:r>
    </w:p>
    <w:p w14:paraId="39AF214A" w14:textId="60484893" w:rsidR="00813A40" w:rsidRDefault="00813A40">
      <w:r>
        <w:t>Di Alessandro Merciari</w:t>
      </w:r>
    </w:p>
    <w:p w14:paraId="289FE489" w14:textId="77777777" w:rsidR="00E77AD4" w:rsidRDefault="00E77AD4"/>
    <w:p w14:paraId="72E828A0" w14:textId="3D31511D" w:rsidR="00E77AD4" w:rsidRDefault="00E77AD4" w:rsidP="00E2472C">
      <w:pPr>
        <w:jc w:val="both"/>
      </w:pPr>
      <w:r>
        <w:t xml:space="preserve">La Quarta Sezione del TAR per il Veneto </w:t>
      </w:r>
      <w:r w:rsidR="00E2472C">
        <w:t xml:space="preserve">si è </w:t>
      </w:r>
      <w:r>
        <w:t>pronunciat</w:t>
      </w:r>
      <w:r w:rsidR="00E2472C">
        <w:t xml:space="preserve">a con </w:t>
      </w:r>
      <w:r>
        <w:t xml:space="preserve">la sentenza n. 19 del 5 gennaio 2026 in riferimento </w:t>
      </w:r>
      <w:r w:rsidR="00E2472C">
        <w:t xml:space="preserve">in riferimento </w:t>
      </w:r>
      <w:r>
        <w:t xml:space="preserve">ad un ricorso presentato da diverse società che commercializzano spazi pubblicitari </w:t>
      </w:r>
      <w:r w:rsidR="00E2472C">
        <w:t xml:space="preserve">radicato innanzi al Tribunale Amministrativo </w:t>
      </w:r>
      <w:r w:rsidR="00BE40FE">
        <w:t>per l’annullamento di un Regolamento comunale</w:t>
      </w:r>
      <w:r w:rsidR="00E2472C">
        <w:t xml:space="preserve"> dedicato ai mezzi pubblicitari </w:t>
      </w:r>
      <w:r w:rsidR="00BE40FE">
        <w:t xml:space="preserve">e </w:t>
      </w:r>
      <w:r w:rsidR="00E2472C">
        <w:t xml:space="preserve">per l’annullamento </w:t>
      </w:r>
      <w:r w:rsidR="00BE40FE">
        <w:t xml:space="preserve">delle tariffe CUP adottate </w:t>
      </w:r>
      <w:r w:rsidR="00E2472C">
        <w:t xml:space="preserve">per l’anno 2021 </w:t>
      </w:r>
      <w:r w:rsidR="00BE40FE">
        <w:t>da un Comune gardesano sponda veronese.</w:t>
      </w:r>
    </w:p>
    <w:p w14:paraId="767D8A2B" w14:textId="1A788504" w:rsidR="00BE40FE" w:rsidRDefault="00BE40FE" w:rsidP="00E2472C">
      <w:pPr>
        <w:jc w:val="both"/>
      </w:pPr>
      <w:r>
        <w:t>Il ricorso viene argomentato per punti che i Giudici amministrativi vanno ad analizzare</w:t>
      </w:r>
      <w:r w:rsidR="00E2472C">
        <w:t xml:space="preserve"> e a respingere puntualmente</w:t>
      </w:r>
      <w:r>
        <w:t>.</w:t>
      </w:r>
    </w:p>
    <w:p w14:paraId="6CC843B8" w14:textId="173B50DD" w:rsidR="00BE40FE" w:rsidRDefault="00BE40FE" w:rsidP="00E2472C">
      <w:pPr>
        <w:jc w:val="both"/>
      </w:pPr>
      <w:r>
        <w:t xml:space="preserve">Innanzi tutto </w:t>
      </w:r>
      <w:r>
        <w:t xml:space="preserve">respingono </w:t>
      </w:r>
      <w:r>
        <w:t xml:space="preserve">l’eccezione sollevata dai ricorrenti in relazione alla presunta illegittimità costituzionale. Viene a tal proposito evidenziato come </w:t>
      </w:r>
      <w:r w:rsidRPr="00BE40FE">
        <w:t>dalla giurisprudenza (Cons. Stato, V. 11/12/2025 n. 9792) la delibera della Giunta comunale si inserisce nel meccanismo di</w:t>
      </w:r>
      <w:r>
        <w:t xml:space="preserve"> </w:t>
      </w:r>
      <w:r w:rsidRPr="00BE40FE">
        <w:t>quantificazione delle tariffe, come delineato dall’art. 1, comma 817, della</w:t>
      </w:r>
      <w:r>
        <w:t xml:space="preserve"> </w:t>
      </w:r>
      <w:r w:rsidRPr="00BE40FE">
        <w:t>legge n. 160 del 2019 e dal d.lgs. n. 267 del 2000. Più precisamente l’art. 1,</w:t>
      </w:r>
      <w:r>
        <w:t xml:space="preserve"> </w:t>
      </w:r>
      <w:r w:rsidRPr="00BE40FE">
        <w:t xml:space="preserve">comma 817, rimette agli enti locali la disciplina del </w:t>
      </w:r>
      <w:r w:rsidRPr="00BE40FE">
        <w:rPr>
          <w:b/>
          <w:bCs/>
        </w:rPr>
        <w:t>canone unico</w:t>
      </w:r>
      <w:r w:rsidRPr="00BE40FE">
        <w:t>, mentre</w:t>
      </w:r>
      <w:r>
        <w:t xml:space="preserve"> </w:t>
      </w:r>
      <w:r w:rsidRPr="00BE40FE">
        <w:t>il successivo comma 821 riserva al Consiglio comunale solo alcuni aspetti</w:t>
      </w:r>
      <w:r>
        <w:t xml:space="preserve"> </w:t>
      </w:r>
      <w:r w:rsidRPr="00BE40FE">
        <w:t>della relativa regolamentazione, tra cui non è inclusa la quantificazione delle</w:t>
      </w:r>
      <w:r>
        <w:t xml:space="preserve"> </w:t>
      </w:r>
      <w:r w:rsidRPr="00BE40FE">
        <w:t>tariffe</w:t>
      </w:r>
      <w:r>
        <w:t>.</w:t>
      </w:r>
    </w:p>
    <w:p w14:paraId="03567AE6" w14:textId="6E33C7FA" w:rsidR="00BE40FE" w:rsidRDefault="00BE40FE" w:rsidP="00E2472C">
      <w:pPr>
        <w:jc w:val="both"/>
      </w:pPr>
      <w:r>
        <w:t xml:space="preserve">Il secondo motivo viene invece giudicato in </w:t>
      </w:r>
      <w:r w:rsidRPr="00BE40FE">
        <w:t>parte inammissibile ed in parte</w:t>
      </w:r>
      <w:r>
        <w:t xml:space="preserve"> </w:t>
      </w:r>
      <w:r w:rsidRPr="00BE40FE">
        <w:t>infondato.</w:t>
      </w:r>
      <w:r>
        <w:t xml:space="preserve"> </w:t>
      </w:r>
      <w:r w:rsidR="0049672D">
        <w:t>Inammissibile</w:t>
      </w:r>
      <w:r>
        <w:t xml:space="preserve"> in relazione alla parte </w:t>
      </w:r>
      <w:r w:rsidR="0049672D">
        <w:t>collegata</w:t>
      </w:r>
      <w:r>
        <w:t xml:space="preserve"> al </w:t>
      </w:r>
      <w:r w:rsidR="0049672D" w:rsidRPr="0049672D">
        <w:t>Piano Generale degli Impianti Pubblicitari</w:t>
      </w:r>
      <w:r w:rsidR="0049672D">
        <w:t xml:space="preserve"> che al momento </w:t>
      </w:r>
      <w:r w:rsidR="0049672D" w:rsidRPr="0049672D">
        <w:t>non è stato ancora</w:t>
      </w:r>
      <w:r w:rsidR="0049672D">
        <w:t xml:space="preserve"> </w:t>
      </w:r>
      <w:r w:rsidR="0049672D" w:rsidRPr="0049672D">
        <w:t>approvato</w:t>
      </w:r>
      <w:r w:rsidR="0049672D">
        <w:t xml:space="preserve"> dall’Amministrazione Comunale, infondato invece in relazione al</w:t>
      </w:r>
      <w:r w:rsidR="0049672D" w:rsidRPr="0049672D">
        <w:t>l’applicazione dei coefficienti</w:t>
      </w:r>
      <w:r w:rsidR="0049672D">
        <w:t xml:space="preserve"> moltiplicatori che risultano  l</w:t>
      </w:r>
      <w:r w:rsidR="0049672D" w:rsidRPr="0049672D">
        <w:t>egittim</w:t>
      </w:r>
      <w:r w:rsidR="0049672D">
        <w:t>i</w:t>
      </w:r>
      <w:r w:rsidR="0049672D" w:rsidRPr="0049672D">
        <w:t xml:space="preserve"> laddove rispond</w:t>
      </w:r>
      <w:r w:rsidR="0049672D">
        <w:t>ono</w:t>
      </w:r>
      <w:r w:rsidR="0049672D" w:rsidRPr="0049672D">
        <w:t xml:space="preserve"> a criteri di ragionevolezza, consentendo di</w:t>
      </w:r>
      <w:r w:rsidR="0049672D">
        <w:t xml:space="preserve"> </w:t>
      </w:r>
      <w:r w:rsidR="0049672D" w:rsidRPr="0049672D">
        <w:t>diversificare situazioni tra loro oggettivamente diverse per tipologia della</w:t>
      </w:r>
      <w:r w:rsidR="0049672D">
        <w:t xml:space="preserve"> </w:t>
      </w:r>
      <w:r w:rsidR="0049672D" w:rsidRPr="0049672D">
        <w:t>strada, di pubblicità (opaca o luminosa) e durata, assicurando un maggior</w:t>
      </w:r>
      <w:r w:rsidR="0049672D">
        <w:t xml:space="preserve"> </w:t>
      </w:r>
      <w:r w:rsidR="0049672D" w:rsidRPr="0049672D">
        <w:t>gettito dove il messaggio pubblicitario viene maggiormente recepito, in</w:t>
      </w:r>
      <w:r w:rsidR="0049672D">
        <w:t xml:space="preserve"> </w:t>
      </w:r>
      <w:r w:rsidR="0049672D" w:rsidRPr="0049672D">
        <w:t>coerenza con il potere attributo agli enti locali di introdurre esenzioni, o</w:t>
      </w:r>
      <w:r w:rsidR="0049672D">
        <w:t xml:space="preserve"> </w:t>
      </w:r>
      <w:r w:rsidR="0049672D" w:rsidRPr="0049672D">
        <w:t>riduzioni del canone, ai sensi dell’art. 1, comma 821, lett. f), della L. n.</w:t>
      </w:r>
      <w:r w:rsidR="0049672D">
        <w:t xml:space="preserve"> </w:t>
      </w:r>
      <w:r w:rsidR="0049672D" w:rsidRPr="0049672D">
        <w:t>160/2019</w:t>
      </w:r>
      <w:r w:rsidR="0049672D">
        <w:t xml:space="preserve">, risultando </w:t>
      </w:r>
      <w:r w:rsidR="0049672D">
        <w:t>conforme al principio di autonomia finanziaria delle</w:t>
      </w:r>
      <w:r w:rsidR="0049672D">
        <w:t xml:space="preserve"> </w:t>
      </w:r>
      <w:r w:rsidR="0049672D">
        <w:t>entrate degli Enti Locali ex art. 119 Cost</w:t>
      </w:r>
      <w:r w:rsidR="0049672D">
        <w:t>ituzione.</w:t>
      </w:r>
    </w:p>
    <w:p w14:paraId="701A00DD" w14:textId="762FC313" w:rsidR="00643E32" w:rsidRDefault="00643E32" w:rsidP="00E2472C">
      <w:pPr>
        <w:jc w:val="both"/>
      </w:pPr>
      <w:r>
        <w:t xml:space="preserve">Anche il terzo motivo </w:t>
      </w:r>
      <w:r w:rsidRPr="00643E32">
        <w:t>di ricorso, che denuncia una doppia imposizione, è</w:t>
      </w:r>
      <w:r>
        <w:t xml:space="preserve"> </w:t>
      </w:r>
      <w:r w:rsidRPr="00643E32">
        <w:t>infondato.</w:t>
      </w:r>
      <w:r>
        <w:t xml:space="preserve"> </w:t>
      </w:r>
      <w:r>
        <w:t>Il comma 820 della L. 160/2019 prevede che “</w:t>
      </w:r>
      <w:r w:rsidRPr="00643E32">
        <w:rPr>
          <w:i/>
          <w:iCs/>
        </w:rPr>
        <w:t>L'applicazione del canone dovuto</w:t>
      </w:r>
      <w:r w:rsidRPr="00643E32">
        <w:rPr>
          <w:i/>
          <w:iCs/>
        </w:rPr>
        <w:t xml:space="preserve"> </w:t>
      </w:r>
      <w:r w:rsidRPr="00643E32">
        <w:rPr>
          <w:i/>
          <w:iCs/>
        </w:rPr>
        <w:t>per la diffusione dei messaggi pubblicitari di cui alla lettera b) del comma 819 esclude</w:t>
      </w:r>
      <w:r w:rsidRPr="00643E32">
        <w:rPr>
          <w:i/>
          <w:iCs/>
        </w:rPr>
        <w:t xml:space="preserve"> </w:t>
      </w:r>
      <w:r w:rsidRPr="00643E32">
        <w:rPr>
          <w:i/>
          <w:iCs/>
        </w:rPr>
        <w:t>l'applicazione del canone dovuto per le occupazioni di cui alla lettera a) del medesimo</w:t>
      </w:r>
      <w:r w:rsidRPr="00643E32">
        <w:rPr>
          <w:i/>
          <w:iCs/>
        </w:rPr>
        <w:t xml:space="preserve"> </w:t>
      </w:r>
      <w:r w:rsidRPr="00643E32">
        <w:rPr>
          <w:i/>
          <w:iCs/>
        </w:rPr>
        <w:t>comma”.</w:t>
      </w:r>
    </w:p>
    <w:p w14:paraId="3B69B557" w14:textId="77777777" w:rsidR="00643E32" w:rsidRDefault="00643E32" w:rsidP="00E2472C">
      <w:pPr>
        <w:jc w:val="both"/>
      </w:pPr>
      <w:r>
        <w:t>Tale norma vale ad escludere espressamente la possibilità di una “doppia</w:t>
      </w:r>
      <w:r>
        <w:t xml:space="preserve"> </w:t>
      </w:r>
      <w:r>
        <w:t>imposizione”, chiarendo che l’applicazione del canone dovuto in ragione</w:t>
      </w:r>
      <w:r>
        <w:t xml:space="preserve"> </w:t>
      </w:r>
      <w:r>
        <w:t>della diffusione dei messaggi pubblicitari esclude l’applicazione del canone</w:t>
      </w:r>
      <w:r>
        <w:t xml:space="preserve"> </w:t>
      </w:r>
      <w:r>
        <w:t>dovuto per le occupazioni.</w:t>
      </w:r>
      <w:r>
        <w:t xml:space="preserve"> </w:t>
      </w:r>
      <w:r>
        <w:t>Ne deriva, per la giurisprudenza alla quale il Collegio si adegua (Tribunale</w:t>
      </w:r>
      <w:r>
        <w:t xml:space="preserve"> </w:t>
      </w:r>
      <w:r>
        <w:t>Milano, sez.1, n.8844 del 29.11.2023), che per le occupazioni con impianti</w:t>
      </w:r>
      <w:r>
        <w:t xml:space="preserve"> </w:t>
      </w:r>
      <w:r>
        <w:t>pubblicitari su suolo comunale si darà luogo all'applicazione del solo</w:t>
      </w:r>
      <w:r>
        <w:t xml:space="preserve"> </w:t>
      </w:r>
      <w:r>
        <w:t>Canone per la diffusione dei messaggi pubblicitari, e non anche a quello per</w:t>
      </w:r>
      <w:r>
        <w:t xml:space="preserve"> </w:t>
      </w:r>
      <w:r>
        <w:t>l'occupazione del suolo pubblico, per effetto del principio di assorbimento,</w:t>
      </w:r>
      <w:r>
        <w:t xml:space="preserve"> </w:t>
      </w:r>
      <w:r>
        <w:t xml:space="preserve">di cui al comma 820 della legge 160/2019. </w:t>
      </w:r>
    </w:p>
    <w:p w14:paraId="32578CCC" w14:textId="1F85BD28" w:rsidR="0049672D" w:rsidRDefault="00643E32" w:rsidP="00E2472C">
      <w:pPr>
        <w:jc w:val="both"/>
      </w:pPr>
      <w:r>
        <w:t>In sostanza, dunque, per le</w:t>
      </w:r>
      <w:r>
        <w:t xml:space="preserve"> </w:t>
      </w:r>
      <w:r>
        <w:t>Province e Città Metropolitane, la legge istitutiva del CUP non ha cambiato</w:t>
      </w:r>
      <w:r>
        <w:t xml:space="preserve"> </w:t>
      </w:r>
      <w:r>
        <w:t>nulla rispetto al passato; mentre prima della sua entrata in vigore tali enti</w:t>
      </w:r>
      <w:r>
        <w:t xml:space="preserve"> </w:t>
      </w:r>
      <w:r>
        <w:t>riscuotevano il COSAP (Canone occupazione suolo pubblico) per i mezzi</w:t>
      </w:r>
      <w:r>
        <w:t xml:space="preserve"> </w:t>
      </w:r>
      <w:r>
        <w:t>pubblicitari posizionati direttamente lungo le strade di loro proprietà,</w:t>
      </w:r>
      <w:r>
        <w:t xml:space="preserve"> </w:t>
      </w:r>
      <w:r>
        <w:t>mentre per lo stesso impianto il Comune riscuoteva il gettito dell'Imposta</w:t>
      </w:r>
      <w:r>
        <w:t xml:space="preserve"> </w:t>
      </w:r>
      <w:r>
        <w:t>Comunale sulla Pubblicità, oggi, per effetto della nuova disciplina,</w:t>
      </w:r>
      <w:r>
        <w:t xml:space="preserve"> </w:t>
      </w:r>
      <w:r>
        <w:t>continueranno a riscuotere la componente legata all'occupazione del suolo</w:t>
      </w:r>
      <w:r>
        <w:t xml:space="preserve"> </w:t>
      </w:r>
      <w:r>
        <w:t>pubblico, in base al presupposto del comma 819, lettera A; mentre il</w:t>
      </w:r>
      <w:r>
        <w:t xml:space="preserve"> </w:t>
      </w:r>
      <w:r>
        <w:t>Comune riscuoterà il Cup per la sua componente, legata alla superficie</w:t>
      </w:r>
      <w:r>
        <w:t xml:space="preserve"> </w:t>
      </w:r>
      <w:r>
        <w:t>espositiva del mezzo pubblicitario (presupposto comma 819 lettera B).</w:t>
      </w:r>
    </w:p>
    <w:p w14:paraId="38AB57EE" w14:textId="29164322" w:rsidR="00643E32" w:rsidRDefault="00643E32" w:rsidP="00E2472C">
      <w:pPr>
        <w:jc w:val="both"/>
      </w:pPr>
      <w:r>
        <w:lastRenderedPageBreak/>
        <w:t xml:space="preserve">Tutti i residui motivi vengono poi vengono dichiarati </w:t>
      </w:r>
      <w:r w:rsidR="00E2472C">
        <w:t>inammissibili</w:t>
      </w:r>
      <w:r>
        <w:t>.</w:t>
      </w:r>
    </w:p>
    <w:p w14:paraId="695A5FE2" w14:textId="561A4332" w:rsidR="00E2472C" w:rsidRDefault="00E2472C" w:rsidP="00E2472C">
      <w:pPr>
        <w:jc w:val="both"/>
      </w:pPr>
      <w:r>
        <w:t>Di particolare interesse ed importanza il secondo motivo (coefficienti moltiplicatori) e il terzo motivo (competenze tra Comuni e Province e criterio di assorbimento dei due presupposti).</w:t>
      </w:r>
    </w:p>
    <w:p w14:paraId="730F1A17" w14:textId="12D0B453" w:rsidR="00E2472C" w:rsidRDefault="00E2472C" w:rsidP="00E2472C">
      <w:pPr>
        <w:jc w:val="both"/>
      </w:pPr>
      <w:r>
        <w:t xml:space="preserve">Sulla questione della legittimità ad utilizzare coefficienti moltiplicatori si era già pronunciato il TAR Lombardia con la sentenza </w:t>
      </w:r>
      <w:r>
        <w:t>numero 576 del 10/7/2023 emessa dalla sezione staccata di Brescia del TAR</w:t>
      </w:r>
      <w:r>
        <w:t xml:space="preserve"> </w:t>
      </w:r>
      <w:r>
        <w:t>Lombardia, che ha legittimato l’operato dello stesso Comune di Brescia nel costruire l’impianto</w:t>
      </w:r>
      <w:r>
        <w:t xml:space="preserve"> </w:t>
      </w:r>
      <w:r>
        <w:t>tariffario utilizzando coefficienti per definire le maggiorazioni tariffarie da applicare ad iniziative</w:t>
      </w:r>
      <w:r>
        <w:t xml:space="preserve"> </w:t>
      </w:r>
      <w:r>
        <w:t>pubblicitarie luminose o illuminate, e con esposizione in determinate zone del territorio dove la</w:t>
      </w:r>
      <w:r>
        <w:t xml:space="preserve"> </w:t>
      </w:r>
      <w:r>
        <w:t>visibilità e il conseguente valore sono maggiori rispetto a diverse zone di minor pregio</w:t>
      </w:r>
      <w:r>
        <w:t>.</w:t>
      </w:r>
    </w:p>
    <w:p w14:paraId="57D7BF07" w14:textId="1E41633F" w:rsidR="00E2472C" w:rsidRDefault="00E2472C" w:rsidP="00E2472C">
      <w:pPr>
        <w:jc w:val="both"/>
        <w:rPr>
          <w:i/>
          <w:iCs/>
        </w:rPr>
      </w:pPr>
      <w:r>
        <w:t xml:space="preserve">In quell’occasione il TAR Lombardia scrisse: </w:t>
      </w:r>
      <w:r w:rsidRPr="00E2472C">
        <w:t>“</w:t>
      </w:r>
      <w:r w:rsidRPr="00E2472C">
        <w:rPr>
          <w:i/>
          <w:iCs/>
        </w:rPr>
        <w:t>Si deve però escludere che le indicazioni del legislatore nazionale siano state stravolte per solo il fatto che il Comune, nell’esercizio della potestà regolamentare, abbia introdotto coefficienti moltiplicatori della tariffa standard differenziati in base alla superficie degli impianti pubblicitari, alla tipologia opaca o luminosa degli stessi, e al carattere ordinario o speciale delle località del territorio comunale. Parimenti, non sembra integrare alcuna violazione della legge 160/2019 il fatto che sia stata data indicazione alla giunta di tenere conto del piano generale degli impianti, dell’impatto ambientale, luminoso e acustico, nonché delle differenze tra le varie forme pubblicità (ordinaria, oppure con veicoli, pannelli luminosi, striscioni, aeromobili, palloni frenati, distribuzione a mano, amplificatori).”</w:t>
      </w:r>
    </w:p>
    <w:p w14:paraId="794B8D9E" w14:textId="002BE7EF" w:rsidR="00077280" w:rsidRDefault="00E2472C" w:rsidP="00E2472C">
      <w:pPr>
        <w:jc w:val="both"/>
      </w:pPr>
      <w:r>
        <w:t xml:space="preserve">Concetti ripresi dal TAR Veneto </w:t>
      </w:r>
      <w:r w:rsidR="00C62FD1">
        <w:t>nel</w:t>
      </w:r>
      <w:r>
        <w:t xml:space="preserve">l’odierna sentenza in commento laddove scrive: </w:t>
      </w:r>
      <w:r w:rsidRPr="00C62FD1">
        <w:rPr>
          <w:i/>
          <w:iCs/>
        </w:rPr>
        <w:t>“</w:t>
      </w:r>
      <w:r w:rsidR="00C62FD1" w:rsidRPr="00C62FD1">
        <w:rPr>
          <w:i/>
          <w:iCs/>
        </w:rPr>
        <w:t>Per quanto attiene poi ai moltiplicatori, di cui si contesta la stessa</w:t>
      </w:r>
      <w:r w:rsidR="00C62FD1" w:rsidRPr="00C62FD1">
        <w:rPr>
          <w:i/>
          <w:iCs/>
        </w:rPr>
        <w:t xml:space="preserve"> </w:t>
      </w:r>
      <w:r w:rsidR="00C62FD1" w:rsidRPr="00C62FD1">
        <w:rPr>
          <w:i/>
          <w:iCs/>
        </w:rPr>
        <w:t>ammissibilità, il motivo è infondato in quanto l’applicazione dei coefficienti</w:t>
      </w:r>
      <w:r w:rsidR="00C62FD1" w:rsidRPr="00C62FD1">
        <w:rPr>
          <w:i/>
          <w:iCs/>
        </w:rPr>
        <w:t xml:space="preserve">  </w:t>
      </w:r>
      <w:r w:rsidR="00C62FD1" w:rsidRPr="00C62FD1">
        <w:rPr>
          <w:i/>
          <w:iCs/>
        </w:rPr>
        <w:t>è legittima laddove risponda a criteri di ragionevolezza, consentendo di</w:t>
      </w:r>
      <w:r w:rsidR="00C62FD1" w:rsidRPr="00C62FD1">
        <w:rPr>
          <w:i/>
          <w:iCs/>
        </w:rPr>
        <w:t xml:space="preserve"> </w:t>
      </w:r>
      <w:r w:rsidR="00C62FD1" w:rsidRPr="00C62FD1">
        <w:rPr>
          <w:i/>
          <w:iCs/>
        </w:rPr>
        <w:t>diversificare situazioni tra loro oggettivamente diverse per tipologia della</w:t>
      </w:r>
      <w:r w:rsidR="00C62FD1" w:rsidRPr="00C62FD1">
        <w:rPr>
          <w:i/>
          <w:iCs/>
        </w:rPr>
        <w:t xml:space="preserve"> </w:t>
      </w:r>
      <w:r w:rsidR="00C62FD1" w:rsidRPr="00C62FD1">
        <w:rPr>
          <w:i/>
          <w:iCs/>
        </w:rPr>
        <w:t>strada, di pubblicità (opaca o luminosa) e durata, assicurando un maggior</w:t>
      </w:r>
      <w:r w:rsidR="00C62FD1" w:rsidRPr="00C62FD1">
        <w:rPr>
          <w:i/>
          <w:iCs/>
        </w:rPr>
        <w:t xml:space="preserve"> </w:t>
      </w:r>
      <w:r w:rsidR="00C62FD1" w:rsidRPr="00C62FD1">
        <w:rPr>
          <w:i/>
          <w:iCs/>
        </w:rPr>
        <w:t>gettito dove il messaggio pubblicitario viene maggiormente recepito, in</w:t>
      </w:r>
      <w:r w:rsidR="00C62FD1" w:rsidRPr="00C62FD1">
        <w:rPr>
          <w:i/>
          <w:iCs/>
        </w:rPr>
        <w:t xml:space="preserve"> </w:t>
      </w:r>
      <w:r w:rsidR="00C62FD1" w:rsidRPr="00C62FD1">
        <w:rPr>
          <w:i/>
          <w:iCs/>
        </w:rPr>
        <w:t>coerenza con il potere attributo agli enti locali di introdurre esenzioni, o</w:t>
      </w:r>
      <w:r w:rsidR="00C62FD1" w:rsidRPr="00C62FD1">
        <w:rPr>
          <w:i/>
          <w:iCs/>
        </w:rPr>
        <w:t xml:space="preserve"> </w:t>
      </w:r>
      <w:r w:rsidR="00C62FD1" w:rsidRPr="00C62FD1">
        <w:rPr>
          <w:i/>
          <w:iCs/>
        </w:rPr>
        <w:t>riduzioni del canone, ai sensi dell’art. 1, comma 821, lett. f), della L. n.160/2019, e risulta conforme al principio di autonomia finanziaria delle</w:t>
      </w:r>
      <w:r w:rsidR="00C62FD1" w:rsidRPr="00C62FD1">
        <w:rPr>
          <w:i/>
          <w:iCs/>
        </w:rPr>
        <w:t xml:space="preserve"> </w:t>
      </w:r>
      <w:r w:rsidR="00C62FD1" w:rsidRPr="00C62FD1">
        <w:rPr>
          <w:i/>
          <w:iCs/>
        </w:rPr>
        <w:t>entrate degli Enti Locali ex art. 119 Cost.</w:t>
      </w:r>
      <w:r w:rsidR="00C62FD1" w:rsidRPr="00C62FD1">
        <w:rPr>
          <w:i/>
          <w:iCs/>
        </w:rPr>
        <w:t xml:space="preserve"> </w:t>
      </w:r>
      <w:r w:rsidR="00C62FD1" w:rsidRPr="00C62FD1">
        <w:rPr>
          <w:i/>
          <w:iCs/>
        </w:rPr>
        <w:t>Ne consegue che i coefficienti moltiplicatori non incidono sul presupposto</w:t>
      </w:r>
      <w:r w:rsidR="00C62FD1" w:rsidRPr="00C62FD1">
        <w:rPr>
          <w:i/>
          <w:iCs/>
        </w:rPr>
        <w:t xml:space="preserve"> </w:t>
      </w:r>
      <w:r w:rsidR="00C62FD1" w:rsidRPr="00C62FD1">
        <w:rPr>
          <w:i/>
          <w:iCs/>
        </w:rPr>
        <w:t>dell’obbligazione di diritto pubblico, né sulla “base imponibile” (Cons.</w:t>
      </w:r>
      <w:r w:rsidR="00C62FD1" w:rsidRPr="00C62FD1">
        <w:rPr>
          <w:i/>
          <w:iCs/>
        </w:rPr>
        <w:t xml:space="preserve"> </w:t>
      </w:r>
      <w:r w:rsidR="00C62FD1" w:rsidRPr="00C62FD1">
        <w:rPr>
          <w:i/>
          <w:iCs/>
        </w:rPr>
        <w:t>Stato, VII, 26/06/2024 n. 5632).</w:t>
      </w:r>
      <w:r w:rsidR="00C62FD1" w:rsidRPr="00C62FD1">
        <w:rPr>
          <w:i/>
          <w:iCs/>
        </w:rPr>
        <w:t>”</w:t>
      </w:r>
    </w:p>
    <w:p w14:paraId="0D7FC530" w14:textId="7D0E896A" w:rsidR="00C62FD1" w:rsidRDefault="00C62FD1" w:rsidP="00C62FD1">
      <w:pPr>
        <w:jc w:val="both"/>
      </w:pPr>
      <w:r>
        <w:t xml:space="preserve">Oggi si continua </w:t>
      </w:r>
      <w:r>
        <w:t xml:space="preserve">così </w:t>
      </w:r>
      <w:r>
        <w:t xml:space="preserve">a ritenere come legittima la possibilità di </w:t>
      </w:r>
      <w:r>
        <w:t>utilizzare lo strumento dei coefficienti</w:t>
      </w:r>
      <w:r>
        <w:t xml:space="preserve"> da parte degli Enti locali, purché non venga mai superato quel limite invisibile definito, utilizzando le parole del Legislatore, secondo criteri di ragionevolezza e di gradualità in ragione dell'impatto ambientale e urbanistico delle occupazioni e delle esposizioni pubblicitarie oggetto del canone. </w:t>
      </w:r>
    </w:p>
    <w:p w14:paraId="524BAD1E" w14:textId="385CCC34" w:rsidR="0049672D" w:rsidRDefault="00C62FD1" w:rsidP="00C62FD1">
      <w:pPr>
        <w:jc w:val="both"/>
      </w:pPr>
      <w:r>
        <w:t>È quindi compito delle singole amministrazioni locali garantire il rispetto dei principi generali che devono caratterizzare la gestione della nuova entrata e, conseguentemente, ipotizzare anche degli eventuali aumenti tariffari purché motivati. Del resto, quando il legislatore prevedeva «…in ogni caso, la possibilità di variare il gettito attraverso la modifica delle tariffe…» voleva innanzi tutto salvaguardare quell’autonomia in materia di proprie entrate, riconosciuta dall’articolo 52 del Dlgs 446/97 a garanzia dei Comuni, Province e Città Metropolitane che legittimamente dovevano perseguire i propri obiettivi di autonomia finanziaria di entrata riconosciuti all’articolo 119 della Costituzione. Tuttavia condizionato dal rispetto dei principi di gradualità e ragionevolezza, oltre che motivato dai principi del beneficio economico (che ritrae il beneficiario della concessione nell’esercizio della sua attività) e del sacrificio imposto alla collettività per la presenza su suolo pubblico dell’occupazione</w:t>
      </w:r>
      <w:r>
        <w:t xml:space="preserve"> o del mezzo pubblicitario</w:t>
      </w:r>
      <w:r>
        <w:t>.</w:t>
      </w:r>
    </w:p>
    <w:p w14:paraId="6ECEAB86" w14:textId="258C67AC" w:rsidR="00C62FD1" w:rsidRDefault="00C62FD1" w:rsidP="00C62FD1">
      <w:pPr>
        <w:jc w:val="both"/>
      </w:pPr>
      <w:r>
        <w:t>Sul tema del criterio di assorbimento disposto al comma 820 della Legge 160/2019, analizzato dai Giudici del TAR Veneto nel ricorso presentato dalle ditte pubblicitarie, avevamo in passato già scritto e commentato diverse sentenze. È comunque importante leggere come il TAR Veneto riconosca il diverso ruolo di Comuni e province nell’ambito della soggettività attiva del CUP.</w:t>
      </w:r>
    </w:p>
    <w:p w14:paraId="2E316DBD" w14:textId="20CF6B8A" w:rsidR="000A7D6F" w:rsidRPr="000A7D6F" w:rsidRDefault="000A7D6F" w:rsidP="000A7D6F">
      <w:pPr>
        <w:jc w:val="both"/>
      </w:pPr>
      <w:r>
        <w:lastRenderedPageBreak/>
        <w:t>Tema sviscerato già</w:t>
      </w:r>
      <w:r w:rsidRPr="000A7D6F">
        <w:t xml:space="preserve"> con </w:t>
      </w:r>
      <w:r w:rsidRPr="000A7D6F">
        <w:t>la sentenza</w:t>
      </w:r>
      <w:r w:rsidRPr="000A7D6F">
        <w:t xml:space="preserve"> </w:t>
      </w:r>
      <w:r w:rsidRPr="000A7D6F">
        <w:t xml:space="preserve">della Corte d’appello di Ancona, la numero 366 del 26 febbraio 2025 con la quale i giudici </w:t>
      </w:r>
      <w:r>
        <w:t xml:space="preserve">avevano </w:t>
      </w:r>
      <w:r w:rsidRPr="000A7D6F">
        <w:t>respinto l’appello di una azienda pubblicitaria che si opponeva al pagamento del Canone Unico a due</w:t>
      </w:r>
      <w:r>
        <w:t xml:space="preserve"> </w:t>
      </w:r>
      <w:r w:rsidRPr="000A7D6F">
        <w:t>distinti enti per lo stesso manufatto.</w:t>
      </w:r>
    </w:p>
    <w:p w14:paraId="2ECD7079" w14:textId="0B9F5611" w:rsidR="00C62FD1" w:rsidRDefault="000A7D6F" w:rsidP="000A7D6F">
      <w:pPr>
        <w:jc w:val="both"/>
      </w:pPr>
      <w:r w:rsidRPr="000A7D6F">
        <w:t>L’appellante riteneva che poiché gli impianti pubblicitari erano stati autorizzati dalla Provincia e si</w:t>
      </w:r>
      <w:r>
        <w:t xml:space="preserve"> </w:t>
      </w:r>
      <w:r w:rsidRPr="000A7D6F">
        <w:t>trovavano su strade appartenenti al demanio provinciale, non sussisteva la titolarità del Comune</w:t>
      </w:r>
      <w:r>
        <w:t xml:space="preserve"> </w:t>
      </w:r>
      <w:r w:rsidRPr="000A7D6F">
        <w:t>appellato ad esigere il canone unico.</w:t>
      </w:r>
      <w:r>
        <w:t xml:space="preserve"> Ritenne </w:t>
      </w:r>
      <w:r w:rsidRPr="000A7D6F">
        <w:t>tuttavia la Corte che la nuova normativa andasse interpretata a favore del mantenimento del</w:t>
      </w:r>
      <w:r>
        <w:t xml:space="preserve"> </w:t>
      </w:r>
      <w:r w:rsidRPr="000A7D6F">
        <w:t>precedente assetto normativo - con riguardo alla soggettività tributaria del Comune, unico</w:t>
      </w:r>
      <w:r>
        <w:t xml:space="preserve"> </w:t>
      </w:r>
      <w:r w:rsidRPr="000A7D6F">
        <w:t>attivamente legittimato a pretendere e riscuotere l'imposta per i messaggi pubblicitari diffusi sul</w:t>
      </w:r>
      <w:r>
        <w:t xml:space="preserve"> </w:t>
      </w:r>
      <w:r w:rsidRPr="000A7D6F">
        <w:t>territorio comunale (l'ex Imposta Comunale sulla Pubblicità) e ciò proprio facendo riferimento a</w:t>
      </w:r>
      <w:r>
        <w:t xml:space="preserve"> </w:t>
      </w:r>
      <w:r w:rsidRPr="000A7D6F">
        <w:t>quanto disposto al comma 819 dell'art. 1 della Lg. n. 160/2019 che mantiene, infatti, nettamente</w:t>
      </w:r>
      <w:r>
        <w:t xml:space="preserve"> </w:t>
      </w:r>
      <w:r w:rsidRPr="000A7D6F">
        <w:t>distinti i presupposti impositivi del canone.</w:t>
      </w:r>
    </w:p>
    <w:p w14:paraId="3FEC6AB7" w14:textId="77777777" w:rsidR="007451A9" w:rsidRDefault="007451A9" w:rsidP="007451A9">
      <w:pPr>
        <w:jc w:val="both"/>
      </w:pPr>
      <w:r>
        <w:t xml:space="preserve">In linea con questa visione, ricordiamo anche una sentenza emessa dalla Corte di Giustizia Tributaria di I° grado di Milano (sentenza n.260 del 27/1/2023) con la quale i giudici tributari avevano deciso una controversia, affermando che la Provincia o la Città Metropolitana continuano, come in passato, a riscuotere il canone relativo alle occupazioni su strade provinciali di loro competenza, senza alcuna pretesa sul presupposto pubblicitario ad esclusivo appannaggio del Comune. </w:t>
      </w:r>
    </w:p>
    <w:p w14:paraId="166D3E5C" w14:textId="6BC6CD0A" w:rsidR="007451A9" w:rsidRDefault="007451A9" w:rsidP="007451A9">
      <w:pPr>
        <w:jc w:val="both"/>
      </w:pPr>
      <w:r>
        <w:t>Anche per i giudici tributari milanesi era quindi del tutto irrilevante la circostanza che l’installazione dei mezzi pubblicitari su strade provinciali venisse autorizzata dalla Provincia/Città Metropolitana. Tale competenza autorizzatoria, discendente dall’articolo 23, 4° comma, del Codice della Strada, e non comporta il pagamento del canone per la diffusione di messaggi pubblicitari in favore della Provincia (così come prima, non implicava il pagamento dell’ICP).</w:t>
      </w:r>
    </w:p>
    <w:p w14:paraId="7A029165" w14:textId="6057BC3F" w:rsidR="00C62FD1" w:rsidRDefault="007451A9" w:rsidP="007451A9">
      <w:pPr>
        <w:jc w:val="both"/>
        <w:rPr>
          <w:i/>
          <w:iCs/>
        </w:rPr>
      </w:pPr>
      <w:r>
        <w:t xml:space="preserve">Anche il </w:t>
      </w:r>
      <w:r w:rsidRPr="007451A9">
        <w:t>Tribunale di Tempio Pausania lo scorso 20 ottobre</w:t>
      </w:r>
      <w:r>
        <w:t xml:space="preserve"> aveva emesso una sentenza dove precisa che: </w:t>
      </w:r>
      <w:r w:rsidRPr="007451A9">
        <w:rPr>
          <w:i/>
          <w:iCs/>
        </w:rPr>
        <w:t>“Ritiene il Tribunale, consapevole della sussistenza di contrastanti orientamenti giurisprudenziali, che</w:t>
      </w:r>
      <w:r>
        <w:rPr>
          <w:i/>
          <w:iCs/>
        </w:rPr>
        <w:t xml:space="preserve"> </w:t>
      </w:r>
      <w:r w:rsidRPr="007451A9">
        <w:rPr>
          <w:i/>
          <w:iCs/>
        </w:rPr>
        <w:t>il canone introdotto dalla l. n. 160 del 2019, nel sostituire i plurimi differenti titoli di prelievo esistenti,</w:t>
      </w:r>
      <w:r>
        <w:rPr>
          <w:i/>
          <w:iCs/>
        </w:rPr>
        <w:t xml:space="preserve"> </w:t>
      </w:r>
      <w:r w:rsidRPr="007451A9">
        <w:rPr>
          <w:i/>
          <w:iCs/>
        </w:rPr>
        <w:t>non abbia affatto inteso concentrare in un unico soggetto la titolarità del diritto a riscuotere il canone</w:t>
      </w:r>
      <w:r>
        <w:rPr>
          <w:i/>
          <w:iCs/>
        </w:rPr>
        <w:t xml:space="preserve"> </w:t>
      </w:r>
      <w:r w:rsidRPr="007451A9">
        <w:rPr>
          <w:i/>
          <w:iCs/>
        </w:rPr>
        <w:t>unico patrimoniale.</w:t>
      </w:r>
      <w:r>
        <w:rPr>
          <w:i/>
          <w:iCs/>
        </w:rPr>
        <w:t xml:space="preserve"> </w:t>
      </w:r>
      <w:r w:rsidRPr="007451A9">
        <w:rPr>
          <w:i/>
          <w:iCs/>
        </w:rPr>
        <w:t>Ciò in considerazione del fatto che detto canone è costituito da componenti aventi natura e presupposti</w:t>
      </w:r>
      <w:r>
        <w:rPr>
          <w:i/>
          <w:iCs/>
        </w:rPr>
        <w:t xml:space="preserve"> </w:t>
      </w:r>
      <w:r w:rsidRPr="007451A9">
        <w:rPr>
          <w:i/>
          <w:iCs/>
        </w:rPr>
        <w:t>diversi, ovvero, come in precedenza ricordato, a) quello relativo all'occupazione delle aree appartenenti</w:t>
      </w:r>
      <w:r>
        <w:rPr>
          <w:i/>
          <w:iCs/>
        </w:rPr>
        <w:t xml:space="preserve"> </w:t>
      </w:r>
      <w:r w:rsidRPr="007451A9">
        <w:rPr>
          <w:i/>
          <w:iCs/>
        </w:rPr>
        <w:t>al demanio e al patrimonio indisponibile degli enti e dello spazio sotto e sovra stanti il suolo pubblico, e</w:t>
      </w:r>
      <w:r>
        <w:rPr>
          <w:i/>
          <w:iCs/>
        </w:rPr>
        <w:t xml:space="preserve"> </w:t>
      </w:r>
      <w:r w:rsidRPr="007451A9">
        <w:rPr>
          <w:i/>
          <w:iCs/>
        </w:rPr>
        <w:t>b) quello relativo alla diffusione di messaggi pubblicitari laddove siano visibili da luogo pubblico o</w:t>
      </w:r>
      <w:r>
        <w:rPr>
          <w:i/>
          <w:iCs/>
        </w:rPr>
        <w:t xml:space="preserve"> </w:t>
      </w:r>
      <w:r w:rsidRPr="007451A9">
        <w:rPr>
          <w:i/>
          <w:iCs/>
        </w:rPr>
        <w:t>aperto al pubblico del territorio comunale.</w:t>
      </w:r>
      <w:r>
        <w:rPr>
          <w:i/>
          <w:iCs/>
        </w:rPr>
        <w:t xml:space="preserve"> </w:t>
      </w:r>
      <w:r w:rsidRPr="007451A9">
        <w:rPr>
          <w:i/>
          <w:iCs/>
        </w:rPr>
        <w:t>Ne consegue che, anche a seguito dell’istituzione del canone unico patrimoniale (CUP), spetterà alla</w:t>
      </w:r>
      <w:r>
        <w:rPr>
          <w:i/>
          <w:iCs/>
        </w:rPr>
        <w:t xml:space="preserve"> </w:t>
      </w:r>
      <w:r w:rsidRPr="007451A9">
        <w:rPr>
          <w:i/>
          <w:iCs/>
        </w:rPr>
        <w:t>Provincia ed all’ANAS s.p.a. la legittimazione a riscuotere la componente riferita all’occupazione di</w:t>
      </w:r>
      <w:r>
        <w:rPr>
          <w:i/>
          <w:iCs/>
        </w:rPr>
        <w:t xml:space="preserve"> </w:t>
      </w:r>
      <w:r w:rsidRPr="007451A9">
        <w:rPr>
          <w:i/>
          <w:iCs/>
        </w:rPr>
        <w:t>suolo pubblico, mentre spetterà al Comune la legittimazione a riscuotere la componente del canone</w:t>
      </w:r>
      <w:r>
        <w:rPr>
          <w:i/>
          <w:iCs/>
        </w:rPr>
        <w:t xml:space="preserve"> </w:t>
      </w:r>
      <w:r w:rsidRPr="007451A9">
        <w:rPr>
          <w:i/>
          <w:iCs/>
        </w:rPr>
        <w:t>riferita alla diffusione dei messaggi pubblicitari, dovendosi ritenere che la sola ipotesi di occupazione</w:t>
      </w:r>
      <w:r>
        <w:rPr>
          <w:i/>
          <w:iCs/>
        </w:rPr>
        <w:t xml:space="preserve"> </w:t>
      </w:r>
      <w:r w:rsidRPr="007451A9">
        <w:rPr>
          <w:i/>
          <w:iCs/>
        </w:rPr>
        <w:t>con impianti pubblicitari di suolo comunale sia soggetta esclusivamente all’applicazione del canone per</w:t>
      </w:r>
      <w:r>
        <w:rPr>
          <w:i/>
          <w:iCs/>
        </w:rPr>
        <w:t xml:space="preserve"> </w:t>
      </w:r>
      <w:r w:rsidRPr="007451A9">
        <w:rPr>
          <w:i/>
          <w:iCs/>
        </w:rPr>
        <w:t>la diffusione dei messaggi pubblicitari, e non anche di quello per l’occupazione di suolo pubblico, in</w:t>
      </w:r>
      <w:r>
        <w:rPr>
          <w:i/>
          <w:iCs/>
        </w:rPr>
        <w:t xml:space="preserve"> </w:t>
      </w:r>
      <w:r w:rsidRPr="007451A9">
        <w:rPr>
          <w:i/>
          <w:iCs/>
        </w:rPr>
        <w:t>applicazione del principio di assorbimento stabilito dal comma 820 della l. n. 160 del 2019.</w:t>
      </w:r>
      <w:r>
        <w:rPr>
          <w:i/>
          <w:iCs/>
        </w:rPr>
        <w:t xml:space="preserve"> </w:t>
      </w:r>
      <w:r w:rsidRPr="007451A9">
        <w:rPr>
          <w:i/>
          <w:iCs/>
        </w:rPr>
        <w:t>Le considerazioni che precedono consentono inoltre di escludere che, nella fattispecie, la duplicazione</w:t>
      </w:r>
      <w:r>
        <w:rPr>
          <w:i/>
          <w:iCs/>
        </w:rPr>
        <w:t xml:space="preserve"> </w:t>
      </w:r>
      <w:r w:rsidRPr="007451A9">
        <w:rPr>
          <w:i/>
          <w:iCs/>
        </w:rPr>
        <w:t>del prelievo abbia condotto alla violazione del divieto di doppia imposizione (v.in tal senso Trib. Novara,</w:t>
      </w:r>
      <w:r>
        <w:rPr>
          <w:i/>
          <w:iCs/>
        </w:rPr>
        <w:t xml:space="preserve"> </w:t>
      </w:r>
      <w:r w:rsidRPr="007451A9">
        <w:rPr>
          <w:i/>
          <w:iCs/>
        </w:rPr>
        <w:t>n. 482 del 2024; Trib. Milano, n. 8844 del 2024; Trib. Macerata, n.1040 del 2024; Trib. Udine, n. 352 del</w:t>
      </w:r>
      <w:r>
        <w:rPr>
          <w:i/>
          <w:iCs/>
        </w:rPr>
        <w:t xml:space="preserve"> </w:t>
      </w:r>
      <w:r w:rsidRPr="007451A9">
        <w:rPr>
          <w:i/>
          <w:iCs/>
        </w:rPr>
        <w:t>2024, Trib. Novara, n. 126 del 2025, Trib. Mantova, n.584 del 2025, Trib. Livorno, n. 274 del 2025, Trib.</w:t>
      </w:r>
      <w:r>
        <w:rPr>
          <w:i/>
          <w:iCs/>
        </w:rPr>
        <w:t xml:space="preserve"> </w:t>
      </w:r>
      <w:r w:rsidRPr="007451A9">
        <w:rPr>
          <w:i/>
          <w:iCs/>
        </w:rPr>
        <w:t>Chieti, n. 283 del 2025).”</w:t>
      </w:r>
    </w:p>
    <w:p w14:paraId="7372C6A2" w14:textId="7455AD15" w:rsidR="007451A9" w:rsidRPr="00894F2F" w:rsidRDefault="007451A9" w:rsidP="007451A9">
      <w:pPr>
        <w:jc w:val="both"/>
        <w:rPr>
          <w:i/>
          <w:iCs/>
        </w:rPr>
      </w:pPr>
      <w:r>
        <w:t xml:space="preserve">Concetti che ritroviamo nell’odierna sentenza del TAR Veneto dove i giudici scrivono: </w:t>
      </w:r>
      <w:r w:rsidRPr="00894F2F">
        <w:rPr>
          <w:i/>
          <w:iCs/>
        </w:rPr>
        <w:t>“</w:t>
      </w:r>
      <w:r w:rsidRPr="00894F2F">
        <w:rPr>
          <w:i/>
          <w:iCs/>
        </w:rPr>
        <w:t>In sostanza, dunque, per le</w:t>
      </w:r>
      <w:r w:rsidRPr="00894F2F">
        <w:rPr>
          <w:i/>
          <w:iCs/>
        </w:rPr>
        <w:t xml:space="preserve">  </w:t>
      </w:r>
      <w:r w:rsidRPr="00894F2F">
        <w:rPr>
          <w:i/>
          <w:iCs/>
        </w:rPr>
        <w:t>Province e Città Metropolitane, la legge istitutiva del CUP non ha cambiato</w:t>
      </w:r>
      <w:r w:rsidRPr="00894F2F">
        <w:rPr>
          <w:i/>
          <w:iCs/>
        </w:rPr>
        <w:t xml:space="preserve"> </w:t>
      </w:r>
      <w:r w:rsidRPr="00894F2F">
        <w:rPr>
          <w:i/>
          <w:iCs/>
        </w:rPr>
        <w:t>nulla rispetto al passato; mentre prima della sua entrata in vigore tali enti</w:t>
      </w:r>
      <w:r w:rsidRPr="00894F2F">
        <w:rPr>
          <w:i/>
          <w:iCs/>
        </w:rPr>
        <w:t xml:space="preserve"> </w:t>
      </w:r>
      <w:r w:rsidRPr="00894F2F">
        <w:rPr>
          <w:i/>
          <w:iCs/>
        </w:rPr>
        <w:t>riscuotevano il COSAP (Canone occupazione suolo pubblico) per i mezzi</w:t>
      </w:r>
      <w:r w:rsidRPr="00894F2F">
        <w:rPr>
          <w:i/>
          <w:iCs/>
        </w:rPr>
        <w:t xml:space="preserve"> </w:t>
      </w:r>
      <w:r w:rsidRPr="00894F2F">
        <w:rPr>
          <w:i/>
          <w:iCs/>
        </w:rPr>
        <w:t>pubblicitari posizionati direttamente lungo le strade di loro proprietà,</w:t>
      </w:r>
      <w:r w:rsidRPr="00894F2F">
        <w:rPr>
          <w:i/>
          <w:iCs/>
        </w:rPr>
        <w:t xml:space="preserve"> </w:t>
      </w:r>
      <w:r w:rsidRPr="00894F2F">
        <w:rPr>
          <w:i/>
          <w:iCs/>
        </w:rPr>
        <w:t>mentre per lo stesso impianto il Comune riscuoteva il gettito dell'Imposta</w:t>
      </w:r>
      <w:r w:rsidRPr="00894F2F">
        <w:rPr>
          <w:i/>
          <w:iCs/>
        </w:rPr>
        <w:t xml:space="preserve"> </w:t>
      </w:r>
      <w:r w:rsidRPr="00894F2F">
        <w:rPr>
          <w:i/>
          <w:iCs/>
        </w:rPr>
        <w:t>Comunale sulla Pubblicità, oggi, per effetto della nuova disciplina,</w:t>
      </w:r>
      <w:r w:rsidRPr="00894F2F">
        <w:rPr>
          <w:i/>
          <w:iCs/>
        </w:rPr>
        <w:t xml:space="preserve"> </w:t>
      </w:r>
      <w:r w:rsidRPr="00894F2F">
        <w:rPr>
          <w:i/>
          <w:iCs/>
        </w:rPr>
        <w:t>continueranno a riscuotere la componente legata all'occupazione del suolo</w:t>
      </w:r>
      <w:r w:rsidRPr="00894F2F">
        <w:rPr>
          <w:i/>
          <w:iCs/>
        </w:rPr>
        <w:t xml:space="preserve"> </w:t>
      </w:r>
      <w:r w:rsidRPr="00894F2F">
        <w:rPr>
          <w:i/>
          <w:iCs/>
        </w:rPr>
        <w:t xml:space="preserve">pubblico, in base al presupposto </w:t>
      </w:r>
      <w:r w:rsidRPr="00894F2F">
        <w:rPr>
          <w:i/>
          <w:iCs/>
        </w:rPr>
        <w:lastRenderedPageBreak/>
        <w:t>del comma 819, lettera A; mentre il</w:t>
      </w:r>
      <w:r w:rsidRPr="00894F2F">
        <w:rPr>
          <w:i/>
          <w:iCs/>
        </w:rPr>
        <w:t xml:space="preserve"> </w:t>
      </w:r>
      <w:r w:rsidRPr="00894F2F">
        <w:rPr>
          <w:i/>
          <w:iCs/>
        </w:rPr>
        <w:t>Comune riscuoterà il Cup per la sua componente, legata alla superficie</w:t>
      </w:r>
      <w:r w:rsidRPr="00894F2F">
        <w:rPr>
          <w:i/>
          <w:iCs/>
        </w:rPr>
        <w:t xml:space="preserve"> </w:t>
      </w:r>
      <w:r w:rsidRPr="00894F2F">
        <w:rPr>
          <w:i/>
          <w:iCs/>
        </w:rPr>
        <w:t>espositiva del mezzo pubblicitario (presupposto comma 819 lettera B).</w:t>
      </w:r>
    </w:p>
    <w:p w14:paraId="1D508EBD" w14:textId="7839F500" w:rsidR="00BE40FE" w:rsidRDefault="00894F2F" w:rsidP="00E2472C">
      <w:pPr>
        <w:jc w:val="both"/>
      </w:pPr>
      <w:r>
        <w:t>Ancora una volta troviamo una sentenza che avvalora le tesi che portiamo faticosamente avanti sulla corretta gestione del CUP, entrata che presenta ancora troppi punti di incertezza che causano agli uffici dedicati rallentamenti e continui contenziosi da gestire.</w:t>
      </w:r>
    </w:p>
    <w:sectPr w:rsidR="00BE40F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D6"/>
    <w:rsid w:val="00060149"/>
    <w:rsid w:val="00077280"/>
    <w:rsid w:val="000A7D6F"/>
    <w:rsid w:val="0049672D"/>
    <w:rsid w:val="00532FD6"/>
    <w:rsid w:val="00643E32"/>
    <w:rsid w:val="007451A9"/>
    <w:rsid w:val="007B1496"/>
    <w:rsid w:val="00813A40"/>
    <w:rsid w:val="00894F2F"/>
    <w:rsid w:val="00BE40FE"/>
    <w:rsid w:val="00C62FD1"/>
    <w:rsid w:val="00E2472C"/>
    <w:rsid w:val="00E77AD4"/>
    <w:rsid w:val="00FB78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F7DC"/>
  <w15:chartTrackingRefBased/>
  <w15:docId w15:val="{D163540C-A68D-4557-880E-62793B8B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32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32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32FD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32FD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32FD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32FD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32FD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32FD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32FD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32FD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32FD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32FD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32FD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32FD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32FD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32FD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32FD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32FD6"/>
    <w:rPr>
      <w:rFonts w:eastAsiaTheme="majorEastAsia" w:cstheme="majorBidi"/>
      <w:color w:val="272727" w:themeColor="text1" w:themeTint="D8"/>
    </w:rPr>
  </w:style>
  <w:style w:type="paragraph" w:styleId="Titolo">
    <w:name w:val="Title"/>
    <w:basedOn w:val="Normale"/>
    <w:next w:val="Normale"/>
    <w:link w:val="TitoloCarattere"/>
    <w:uiPriority w:val="10"/>
    <w:qFormat/>
    <w:rsid w:val="0053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32FD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32FD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32FD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32FD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32FD6"/>
    <w:rPr>
      <w:i/>
      <w:iCs/>
      <w:color w:val="404040" w:themeColor="text1" w:themeTint="BF"/>
    </w:rPr>
  </w:style>
  <w:style w:type="paragraph" w:styleId="Paragrafoelenco">
    <w:name w:val="List Paragraph"/>
    <w:basedOn w:val="Normale"/>
    <w:uiPriority w:val="34"/>
    <w:qFormat/>
    <w:rsid w:val="00532FD6"/>
    <w:pPr>
      <w:ind w:left="720"/>
      <w:contextualSpacing/>
    </w:pPr>
  </w:style>
  <w:style w:type="character" w:styleId="Enfasiintensa">
    <w:name w:val="Intense Emphasis"/>
    <w:basedOn w:val="Carpredefinitoparagrafo"/>
    <w:uiPriority w:val="21"/>
    <w:qFormat/>
    <w:rsid w:val="00532FD6"/>
    <w:rPr>
      <w:i/>
      <w:iCs/>
      <w:color w:val="2F5496" w:themeColor="accent1" w:themeShade="BF"/>
    </w:rPr>
  </w:style>
  <w:style w:type="paragraph" w:styleId="Citazioneintensa">
    <w:name w:val="Intense Quote"/>
    <w:basedOn w:val="Normale"/>
    <w:next w:val="Normale"/>
    <w:link w:val="CitazioneintensaCarattere"/>
    <w:uiPriority w:val="30"/>
    <w:qFormat/>
    <w:rsid w:val="0053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32FD6"/>
    <w:rPr>
      <w:i/>
      <w:iCs/>
      <w:color w:val="2F5496" w:themeColor="accent1" w:themeShade="BF"/>
    </w:rPr>
  </w:style>
  <w:style w:type="character" w:styleId="Riferimentointenso">
    <w:name w:val="Intense Reference"/>
    <w:basedOn w:val="Carpredefinitoparagrafo"/>
    <w:uiPriority w:val="32"/>
    <w:qFormat/>
    <w:rsid w:val="00532FD6"/>
    <w:rPr>
      <w:b/>
      <w:bCs/>
      <w:smallCaps/>
      <w:color w:val="2F5496" w:themeColor="accent1" w:themeShade="BF"/>
      <w:spacing w:val="5"/>
    </w:rPr>
  </w:style>
  <w:style w:type="paragraph" w:customStyle="1" w:styleId="Default">
    <w:name w:val="Default"/>
    <w:rsid w:val="00C62FD1"/>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4</Pages>
  <Words>2050</Words>
  <Characters>11688</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6</cp:revision>
  <dcterms:created xsi:type="dcterms:W3CDTF">2026-03-11T10:22:00Z</dcterms:created>
  <dcterms:modified xsi:type="dcterms:W3CDTF">2026-03-11T14:35:00Z</dcterms:modified>
</cp:coreProperties>
</file>