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02AE" w14:textId="5DB1896B" w:rsidR="00AD3B1B" w:rsidRPr="00AD3B1B" w:rsidRDefault="006711D7" w:rsidP="00AD3B1B">
      <w:r>
        <w:t xml:space="preserve">Titolo: </w:t>
      </w:r>
      <w:r w:rsidR="00AD3B1B" w:rsidRPr="00AD3B1B">
        <w:t xml:space="preserve">Che fine ha fatto la TARI giornaliera storicamente applicata agli ambulanti del mercato? </w:t>
      </w:r>
    </w:p>
    <w:p w14:paraId="5935097B" w14:textId="668C0A28" w:rsidR="006711D7" w:rsidRDefault="006711D7">
      <w:r>
        <w:t>Di Alessandro Merciari</w:t>
      </w:r>
    </w:p>
    <w:p w14:paraId="1A761EE5" w14:textId="77777777" w:rsidR="006711D7" w:rsidRDefault="006711D7"/>
    <w:p w14:paraId="21D67BE8" w14:textId="602186CE" w:rsidR="006711D7" w:rsidRPr="006711D7" w:rsidRDefault="006711D7" w:rsidP="006711D7">
      <w:pPr>
        <w:jc w:val="both"/>
      </w:pPr>
      <w:r>
        <w:t xml:space="preserve">Affrontiamo una delle tematiche </w:t>
      </w:r>
      <w:r w:rsidR="00685D67">
        <w:t xml:space="preserve">rimaste </w:t>
      </w:r>
      <w:r w:rsidR="0054718F">
        <w:t xml:space="preserve">oggi </w:t>
      </w:r>
      <w:r>
        <w:t xml:space="preserve">irrisolte che riguardano il Canone Mercatale introdotto nel 2021 </w:t>
      </w:r>
      <w:r w:rsidRPr="006711D7">
        <w:t>con il comma 837 della Legge 160/2019</w:t>
      </w:r>
      <w:r w:rsidR="00685D67">
        <w:t xml:space="preserve">. Entrata dedicata </w:t>
      </w:r>
      <w:r w:rsidR="0054718F">
        <w:t xml:space="preserve">alle occupazioni realizzate nei mercati cittadini </w:t>
      </w:r>
      <w:r w:rsidRPr="006711D7">
        <w:t>volut</w:t>
      </w:r>
      <w:r w:rsidR="00685D67">
        <w:t>a</w:t>
      </w:r>
      <w:r w:rsidRPr="006711D7">
        <w:t xml:space="preserve"> dal Legislatore in sostituzione dei precedenti prelievi Tosap e Cosap e della tassa/tariffa giornaliera sui</w:t>
      </w:r>
      <w:r>
        <w:t xml:space="preserve"> </w:t>
      </w:r>
      <w:r w:rsidRPr="006711D7">
        <w:t>rifiuti</w:t>
      </w:r>
      <w:r w:rsidR="0054718F">
        <w:t xml:space="preserve"> urbani</w:t>
      </w:r>
      <w:r w:rsidRPr="006711D7">
        <w:t>.</w:t>
      </w:r>
    </w:p>
    <w:p w14:paraId="7AEF4B98" w14:textId="692FCC5F" w:rsidR="006711D7" w:rsidRPr="006711D7" w:rsidRDefault="006711D7" w:rsidP="006711D7">
      <w:pPr>
        <w:jc w:val="both"/>
      </w:pPr>
      <w:r w:rsidRPr="006711D7">
        <w:t>Fin dall'originale trasformazione del prelievo risultarono evidenti le criticità dettate dalla rigidità della nuova</w:t>
      </w:r>
      <w:r>
        <w:t xml:space="preserve"> </w:t>
      </w:r>
      <w:r w:rsidRPr="006711D7">
        <w:t>disciplina che presentava caratteristiche profondamente diverse dall'alternativo e principale canone</w:t>
      </w:r>
      <w:r>
        <w:t xml:space="preserve"> </w:t>
      </w:r>
      <w:r w:rsidRPr="006711D7">
        <w:t>patrimoniale introdotto dal Legislatore al comma 816 e applicato a tutto il mondo delle occupazioni di suolo</w:t>
      </w:r>
      <w:r>
        <w:t xml:space="preserve"> </w:t>
      </w:r>
      <w:r w:rsidRPr="006711D7">
        <w:t>pubblico, a eccezione proprio di quelle svolte nell'ambito mercatale a cui il Legislatore ha voluto riservare una</w:t>
      </w:r>
      <w:r>
        <w:t xml:space="preserve"> </w:t>
      </w:r>
      <w:r w:rsidRPr="006711D7">
        <w:t>disciplina spec</w:t>
      </w:r>
      <w:r w:rsidR="005108C1">
        <w:t>iale.</w:t>
      </w:r>
    </w:p>
    <w:p w14:paraId="377CB821" w14:textId="3F03CFE6" w:rsidR="006711D7" w:rsidRDefault="006711D7" w:rsidP="006711D7">
      <w:pPr>
        <w:jc w:val="both"/>
      </w:pPr>
      <w:r>
        <w:t>In questi primi anni di gestione della</w:t>
      </w:r>
      <w:r w:rsidRPr="006711D7">
        <w:t xml:space="preserve"> nuova entrata abbiamo purtroppo avuto le conferme che ci aspettavamo da questo</w:t>
      </w:r>
      <w:r>
        <w:t xml:space="preserve"> </w:t>
      </w:r>
      <w:r w:rsidRPr="006711D7">
        <w:t>canone che mina pesantemente l'autonomia e la potestà regolamentare degli enti locali. È significativa infatti la</w:t>
      </w:r>
      <w:r>
        <w:t xml:space="preserve"> </w:t>
      </w:r>
      <w:r w:rsidRPr="006711D7">
        <w:t>differenza tra i diversi commi dedicati alla definizione della tariffa base. Mentre per il Canone Unico, conosciuto</w:t>
      </w:r>
      <w:r>
        <w:t xml:space="preserve"> </w:t>
      </w:r>
      <w:r w:rsidRPr="006711D7">
        <w:t>con l'acronimo CUP, i commi 826 e 827 stabiliscono le tariffe annuali e giornaliere specificando che i singoli</w:t>
      </w:r>
      <w:r>
        <w:t xml:space="preserve"> </w:t>
      </w:r>
      <w:r w:rsidRPr="006711D7">
        <w:t>enti locali potranno comunque modificarle per garantire l'invarianza di gettito e permettere di mantenere</w:t>
      </w:r>
      <w:r>
        <w:t xml:space="preserve"> </w:t>
      </w:r>
      <w:r w:rsidRPr="006711D7">
        <w:t>inalterati gli equilibri finanziari del proprio bilancio, per il cosiddetto Canone Mercatale, i commi 841 e 842</w:t>
      </w:r>
      <w:r>
        <w:t xml:space="preserve"> </w:t>
      </w:r>
      <w:r w:rsidRPr="006711D7">
        <w:t>definiscono invece le tariffe base senza prevedere la possibilità di modifica da parte degli enti beneficiari. O</w:t>
      </w:r>
      <w:r>
        <w:t xml:space="preserve"> </w:t>
      </w:r>
      <w:r w:rsidRPr="006711D7">
        <w:t xml:space="preserve">meglio, viene data la possibilità di incrementare le tariffe nella misura </w:t>
      </w:r>
      <w:r w:rsidR="005108C1">
        <w:t xml:space="preserve">massima </w:t>
      </w:r>
      <w:r w:rsidRPr="006711D7">
        <w:t>del 25%, ma contestualmente viene</w:t>
      </w:r>
      <w:r>
        <w:t xml:space="preserve"> </w:t>
      </w:r>
      <w:r w:rsidRPr="006711D7">
        <w:t>imposta la suddivisione oraria della tariffa, con il pasticcio della suddivisione in 24 ore o in noni, e</w:t>
      </w:r>
      <w:r>
        <w:t xml:space="preserve"> </w:t>
      </w:r>
      <w:r w:rsidRPr="006711D7">
        <w:t>l'applicazione obbligatoria di una riduzione, tra il 30 e il 40 per cento del dovuto, per le occupazioni che si</w:t>
      </w:r>
      <w:r>
        <w:t xml:space="preserve"> </w:t>
      </w:r>
      <w:r w:rsidRPr="006711D7">
        <w:t xml:space="preserve">realizzano a carattere ricorrente e con cadenza settimanale. </w:t>
      </w:r>
    </w:p>
    <w:p w14:paraId="2D18ED09" w14:textId="77777777" w:rsidR="006711D7" w:rsidRDefault="006711D7" w:rsidP="006711D7">
      <w:pPr>
        <w:jc w:val="both"/>
      </w:pPr>
      <w:r w:rsidRPr="006711D7">
        <w:t>Di fatto con questo insieme di disposizioni il</w:t>
      </w:r>
      <w:r>
        <w:t xml:space="preserve"> </w:t>
      </w:r>
      <w:r w:rsidRPr="006711D7">
        <w:t>Legislatore ha voluto imporre delle tariffe di mercato omogenee per classe di Comune, togliendo così alle</w:t>
      </w:r>
      <w:r>
        <w:t xml:space="preserve"> </w:t>
      </w:r>
      <w:r w:rsidRPr="006711D7">
        <w:t>singole amministrazioni ogni possibilità di applicare il prelievo nella misura più adeguata al proprio territorio</w:t>
      </w:r>
      <w:r>
        <w:t xml:space="preserve"> e alle caratteristiche del mercato stesso.</w:t>
      </w:r>
    </w:p>
    <w:p w14:paraId="5237F97C" w14:textId="6DF1AB2B" w:rsidR="006711D7" w:rsidRDefault="006711D7" w:rsidP="00B30B24">
      <w:pPr>
        <w:jc w:val="both"/>
      </w:pPr>
      <w:r w:rsidRPr="006711D7">
        <w:t xml:space="preserve">Il meccanismo voluto dal Legislatore di fissare per i mercati la tariffa per categoria di popolazione dei comuni, facendo rientrate in questo importo sia l’occupazione del suolo pubblico che il prelievo relativo la Tassa sui Rifiuti, ha creato problemi in </w:t>
      </w:r>
      <w:r w:rsidR="00131E4A">
        <w:t>questi primi anni</w:t>
      </w:r>
      <w:r w:rsidRPr="006711D7">
        <w:t xml:space="preserve"> e a maggior ragione ne creerà nel futuro, quando l’esigenza di disporre aumenti sarà sempre più sentita. La disciplina imposta nei commi dedicati al Canone Mercatale limita pesantemente l’autonomia dei Comuni, andando ad incidere negativamente e se vogliamo anche ingiustamente le manovre tariffarie e di Bilancio dei singoli enti locali.</w:t>
      </w:r>
    </w:p>
    <w:p w14:paraId="0F2866D3" w14:textId="5B2E84DF" w:rsidR="006711D7" w:rsidRDefault="006711D7" w:rsidP="00B30B24">
      <w:pPr>
        <w:jc w:val="both"/>
      </w:pPr>
      <w:r>
        <w:t xml:space="preserve">La scelta poi del Legislatore di prevedere che la tariffa applicata assorba anche la quota di tassa sui rifiuti, </w:t>
      </w:r>
      <w:r w:rsidR="00B30B24">
        <w:t xml:space="preserve">ha </w:t>
      </w:r>
      <w:r>
        <w:t>provoca</w:t>
      </w:r>
      <w:r w:rsidR="00B30B24">
        <w:t>to</w:t>
      </w:r>
      <w:r>
        <w:t xml:space="preserve"> una serie di problemi irrisolvibili per i Comuni, che se da una parte </w:t>
      </w:r>
      <w:r w:rsidR="007A1E41">
        <w:t>sono stati</w:t>
      </w:r>
      <w:r>
        <w:t xml:space="preserve"> costretti ad applicare tariffe praticamente blindate, dall'altra si </w:t>
      </w:r>
      <w:r w:rsidR="007A1E41">
        <w:t>sono trovati</w:t>
      </w:r>
      <w:r>
        <w:t xml:space="preserve"> a dover coprire comunque i costi derivanti dal servizio di </w:t>
      </w:r>
      <w:r w:rsidR="00AD3B1B">
        <w:t xml:space="preserve">spazzamento, </w:t>
      </w:r>
      <w:r>
        <w:t>raccolta e smaltimento dei rifiuti prodotti nelle giornate di mercato. Costi notevoli addebitati dal gestore del servizio, viste peraltro le condizioni in cui versano le strade al termine dei mercati, che alla fine peseranno inevitabilmente sulla collettività.</w:t>
      </w:r>
    </w:p>
    <w:p w14:paraId="3698CCA0" w14:textId="73D49AE4" w:rsidR="00B30B24" w:rsidRDefault="00B30B24" w:rsidP="00B30B24">
      <w:pPr>
        <w:jc w:val="both"/>
      </w:pPr>
      <w:r>
        <w:t>Molte amministrazioni si sono interrogate su come poter recuperare le somme dovute, e ristabilire il corretto principio di autonomia in materia di proprie entrate, esattamente come avveniva negli anni passati. Tuttavia, non essendo venuto meno l'obbligo di copertura integrale dei costi per il servizio rifiuti, né la necessità di garantire il corretto equilibrio economico finanziario del proprio bilancio, mancano gli strumenti e le condizioni per poter definire la giusta tariffa, così che a</w:t>
      </w:r>
      <w:r w:rsidR="00AD3B1B">
        <w:t>d</w:t>
      </w:r>
      <w:r>
        <w:t xml:space="preserve"> oggi non resta che ipotizzare come i minori introiti derivanti dal mercato finiscano per pesare sulle tasche degli altri cittadini.</w:t>
      </w:r>
    </w:p>
    <w:p w14:paraId="575F4631" w14:textId="77777777" w:rsidR="00D63AE5" w:rsidRDefault="00D63AE5" w:rsidP="00D63AE5">
      <w:pPr>
        <w:jc w:val="both"/>
      </w:pPr>
      <w:r>
        <w:lastRenderedPageBreak/>
        <w:t xml:space="preserve">Che fine ha fatto quindi la TARI giornaliera storicamente applicata agli ambulanti del mercato? </w:t>
      </w:r>
    </w:p>
    <w:p w14:paraId="1EEEDAE9" w14:textId="03E8AB47" w:rsidR="00B30B24" w:rsidRDefault="00D63AE5" w:rsidP="00B30B24">
      <w:pPr>
        <w:jc w:val="both"/>
      </w:pPr>
      <w:r>
        <w:t>E’</w:t>
      </w:r>
      <w:r w:rsidR="00B30B24">
        <w:t xml:space="preserve"> evidente come nella maggior parte delle realtà locali</w:t>
      </w:r>
      <w:r>
        <w:t xml:space="preserve"> sia di fatto sparita. Il meccanismo voluto dal Legislatore porta a</w:t>
      </w:r>
      <w:r w:rsidR="00B30B24">
        <w:t xml:space="preserve">lla fine </w:t>
      </w:r>
      <w:r>
        <w:t>a</w:t>
      </w:r>
      <w:r w:rsidR="00B30B24">
        <w:t xml:space="preserve"> riscuote</w:t>
      </w:r>
      <w:r>
        <w:t>re</w:t>
      </w:r>
      <w:r w:rsidR="00B30B24">
        <w:t xml:space="preserve"> il Canone Mercatale, con incasso sul capitolo dell’occupazione del suolo pubblico mentre la quota di tariffa TARI è destinata a disperdersi, assorbita dalla componente ex Tosap. È il gioco dei vasi comunicanti, se imponi una tariffa massima dove all’interno devi far convivere due prelievi con presupposti diversi, uno dei quali sarebbe destinato a coprire i costi del servizio rifiuti, finisce che i conti non tornano e la soluzione più facile diventa quella di non considerare</w:t>
      </w:r>
      <w:r>
        <w:t>,</w:t>
      </w:r>
      <w:r w:rsidR="00B30B24">
        <w:t xml:space="preserve"> nel gettito</w:t>
      </w:r>
      <w:r>
        <w:t xml:space="preserve"> complessivo</w:t>
      </w:r>
      <w:r w:rsidR="00B30B24">
        <w:t xml:space="preserve"> TARI</w:t>
      </w:r>
      <w:r>
        <w:t xml:space="preserve"> a copertura del PEF,</w:t>
      </w:r>
      <w:r w:rsidR="00B30B24">
        <w:t xml:space="preserve"> quella componente di incasso derivante dai mercati. Ecco quindi </w:t>
      </w:r>
      <w:r>
        <w:t>che i</w:t>
      </w:r>
      <w:r w:rsidR="00B30B24">
        <w:t xml:space="preserve"> costi sostenuti per la gestione </w:t>
      </w:r>
      <w:r w:rsidR="007A1E41">
        <w:t>dei rifiuti prodotti nell’ambito del mercato</w:t>
      </w:r>
      <w:r w:rsidR="00B30B24">
        <w:t xml:space="preserve"> ricadranno interamente e inevitabilmente sulla collettività.</w:t>
      </w:r>
    </w:p>
    <w:p w14:paraId="1B01FECD" w14:textId="77777777" w:rsidR="00B30B24" w:rsidRDefault="00B30B24" w:rsidP="00B30B24">
      <w:pPr>
        <w:jc w:val="both"/>
      </w:pPr>
    </w:p>
    <w:sectPr w:rsidR="00B30B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03"/>
    <w:rsid w:val="00060149"/>
    <w:rsid w:val="000D7E61"/>
    <w:rsid w:val="00131E4A"/>
    <w:rsid w:val="0019572C"/>
    <w:rsid w:val="00347497"/>
    <w:rsid w:val="003B6ADD"/>
    <w:rsid w:val="0043349B"/>
    <w:rsid w:val="005108C1"/>
    <w:rsid w:val="00545B5B"/>
    <w:rsid w:val="0054718F"/>
    <w:rsid w:val="006711D7"/>
    <w:rsid w:val="00685D67"/>
    <w:rsid w:val="00711803"/>
    <w:rsid w:val="0079447E"/>
    <w:rsid w:val="007A1E41"/>
    <w:rsid w:val="007B1496"/>
    <w:rsid w:val="00AD3B1B"/>
    <w:rsid w:val="00B05E68"/>
    <w:rsid w:val="00B30B24"/>
    <w:rsid w:val="00D63A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B084"/>
  <w15:chartTrackingRefBased/>
  <w15:docId w15:val="{E2619930-DD95-4B8B-9721-20A11BC4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11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11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118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118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118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118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118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118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118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8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118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118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118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118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118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118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118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118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711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118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118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118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118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11803"/>
    <w:rPr>
      <w:i/>
      <w:iCs/>
      <w:color w:val="404040" w:themeColor="text1" w:themeTint="BF"/>
    </w:rPr>
  </w:style>
  <w:style w:type="paragraph" w:styleId="Paragrafoelenco">
    <w:name w:val="List Paragraph"/>
    <w:basedOn w:val="Normale"/>
    <w:uiPriority w:val="34"/>
    <w:qFormat/>
    <w:rsid w:val="00711803"/>
    <w:pPr>
      <w:ind w:left="720"/>
      <w:contextualSpacing/>
    </w:pPr>
  </w:style>
  <w:style w:type="character" w:styleId="Enfasiintensa">
    <w:name w:val="Intense Emphasis"/>
    <w:basedOn w:val="Carpredefinitoparagrafo"/>
    <w:uiPriority w:val="21"/>
    <w:qFormat/>
    <w:rsid w:val="00711803"/>
    <w:rPr>
      <w:i/>
      <w:iCs/>
      <w:color w:val="2F5496" w:themeColor="accent1" w:themeShade="BF"/>
    </w:rPr>
  </w:style>
  <w:style w:type="paragraph" w:styleId="Citazioneintensa">
    <w:name w:val="Intense Quote"/>
    <w:basedOn w:val="Normale"/>
    <w:next w:val="Normale"/>
    <w:link w:val="CitazioneintensaCarattere"/>
    <w:uiPriority w:val="30"/>
    <w:qFormat/>
    <w:rsid w:val="00711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11803"/>
    <w:rPr>
      <w:i/>
      <w:iCs/>
      <w:color w:val="2F5496" w:themeColor="accent1" w:themeShade="BF"/>
    </w:rPr>
  </w:style>
  <w:style w:type="character" w:styleId="Riferimentointenso">
    <w:name w:val="Intense Reference"/>
    <w:basedOn w:val="Carpredefinitoparagrafo"/>
    <w:uiPriority w:val="32"/>
    <w:qFormat/>
    <w:rsid w:val="007118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2</Pages>
  <Words>786</Words>
  <Characters>4482</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2026-02-13T07:44:00Z</dcterms:created>
  <dcterms:modified xsi:type="dcterms:W3CDTF">2026-02-22T16:55:00Z</dcterms:modified>
</cp:coreProperties>
</file>