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94E8" w14:textId="60A46881" w:rsidR="006672EA" w:rsidRDefault="00EE2B19">
      <w:r>
        <w:t xml:space="preserve">Titolo: </w:t>
      </w:r>
      <w:r w:rsidR="00D3499E">
        <w:t>C</w:t>
      </w:r>
      <w:r>
        <w:t xml:space="preserve">orretto l’avviso </w:t>
      </w:r>
      <w:r w:rsidR="00DB1C15">
        <w:t xml:space="preserve">di accertamento </w:t>
      </w:r>
      <w:r>
        <w:t>CUP basato su un verbale Polizia Municipale</w:t>
      </w:r>
      <w:r w:rsidR="00DB1C15">
        <w:t>.</w:t>
      </w:r>
    </w:p>
    <w:p w14:paraId="684AB7E3" w14:textId="7496DD7F" w:rsidR="00DB1C15" w:rsidRDefault="00DB1C15">
      <w:r>
        <w:t>Di Alessandro Merciari</w:t>
      </w:r>
    </w:p>
    <w:p w14:paraId="37423009" w14:textId="6F026E47" w:rsidR="00EE2B19" w:rsidRDefault="00EE2B19" w:rsidP="00EE2B19">
      <w:pPr>
        <w:jc w:val="both"/>
      </w:pPr>
      <w:r>
        <w:t xml:space="preserve">Una recente sentenza del Tribunale di Napoli </w:t>
      </w:r>
      <w:r w:rsidR="00DB1C15">
        <w:t>(n.</w:t>
      </w:r>
      <w:r w:rsidR="00DB1C15" w:rsidRPr="00DB1C15">
        <w:t xml:space="preserve"> </w:t>
      </w:r>
      <w:r w:rsidR="00DB1C15" w:rsidRPr="00DB1C15">
        <w:t>4171</w:t>
      </w:r>
      <w:r w:rsidR="00DB1C15">
        <w:t>/</w:t>
      </w:r>
      <w:r w:rsidR="00DB1C15" w:rsidRPr="00DB1C15">
        <w:t>2025</w:t>
      </w:r>
      <w:r w:rsidR="00DB1C15">
        <w:t xml:space="preserve"> del</w:t>
      </w:r>
      <w:r w:rsidR="00DB1C15" w:rsidRPr="00DB1C15">
        <w:t xml:space="preserve"> </w:t>
      </w:r>
      <w:r w:rsidR="00DB1C15" w:rsidRPr="00DB1C15">
        <w:t>28</w:t>
      </w:r>
      <w:r w:rsidR="00DB1C15">
        <w:t>/</w:t>
      </w:r>
      <w:r w:rsidR="00DB1C15" w:rsidRPr="00DB1C15">
        <w:t>04</w:t>
      </w:r>
      <w:r w:rsidR="00DB1C15">
        <w:t>/</w:t>
      </w:r>
      <w:r w:rsidR="00DB1C15" w:rsidRPr="00DB1C15">
        <w:t>2025</w:t>
      </w:r>
      <w:r w:rsidR="00DB1C15">
        <w:t xml:space="preserve">) </w:t>
      </w:r>
      <w:r>
        <w:t xml:space="preserve">affronta la questione relativa l’opposizione ad un avviso di accertamento emesso a fronte di un verbale della Polizia Municipale con </w:t>
      </w:r>
      <w:r w:rsidR="00DB1C15">
        <w:t xml:space="preserve">il </w:t>
      </w:r>
      <w:r>
        <w:t>quale veniva contestata l’occupazione abusiva</w:t>
      </w:r>
      <w:r w:rsidR="00DB1C15">
        <w:t xml:space="preserve"> </w:t>
      </w:r>
      <w:r>
        <w:t xml:space="preserve">di suolo pubblico, </w:t>
      </w:r>
      <w:r w:rsidR="001071EE">
        <w:t xml:space="preserve">realizzata </w:t>
      </w:r>
      <w:r>
        <w:t xml:space="preserve">con elementi </w:t>
      </w:r>
      <w:r w:rsidR="00DB1C15">
        <w:t>non di carattere stabile</w:t>
      </w:r>
      <w:r w:rsidR="00DB1C15">
        <w:t>, tali da qualificarl</w:t>
      </w:r>
      <w:r w:rsidR="001071EE">
        <w:t>i</w:t>
      </w:r>
      <w:r w:rsidR="00DB1C15">
        <w:t xml:space="preserve"> </w:t>
      </w:r>
      <w:r w:rsidR="001071EE">
        <w:t xml:space="preserve">come </w:t>
      </w:r>
      <w:proofErr w:type="gramStart"/>
      <w:r w:rsidR="001071EE">
        <w:t>strutture  temporanee</w:t>
      </w:r>
      <w:proofErr w:type="gramEnd"/>
      <w:r>
        <w:t>, ovvero</w:t>
      </w:r>
      <w:r w:rsidR="00DB1C15">
        <w:t xml:space="preserve"> soggett</w:t>
      </w:r>
      <w:r w:rsidR="001071EE">
        <w:t>e</w:t>
      </w:r>
      <w:r w:rsidR="00DB1C15">
        <w:t xml:space="preserve"> al pagamento su base di tariffa giornaliera</w:t>
      </w:r>
      <w:r>
        <w:t>.</w:t>
      </w:r>
    </w:p>
    <w:p w14:paraId="4DB9AB7A" w14:textId="0F317B1D" w:rsidR="00EE2B19" w:rsidRDefault="00EE2B19" w:rsidP="00EE2B19">
      <w:pPr>
        <w:jc w:val="both"/>
        <w:rPr>
          <w:i/>
          <w:iCs/>
        </w:rPr>
      </w:pPr>
      <w:r>
        <w:t>Nella sentenza si legge: “</w:t>
      </w:r>
      <w:r w:rsidRPr="00EE2B19">
        <w:rPr>
          <w:i/>
          <w:iCs/>
        </w:rPr>
        <w:t>Orbene, in materia di occupazione di suolo pubblico il verbale rileva come titolo per fondare la pretesa dell’amministrazione al recupero dell’indennità prevista dal Regolamento comunale. Esso rappresenta l’atto-documento rilevante nella sua dimensione probatoria di fatto-storico dell’avvenuta occupazione di suolo pubblico, fondante la pretesa di pagamento della relativa indennità. Eventuali vizi afferenti aspetti formali del verbale stesso, a meno che non diano luogo ad una compressione totale del diritto di difesa dell’interessato, non integrano fatti impeditivi del diritto della p.a. alla corresponsione del canone per occupazione di suolo pubblico. Le pretese dell’ente pubblico territoriale hanno, quindi, natura di diritto di credito, sicché la relazione tra le parti va inquadrata nel tipo pretesa-obbligo e non nel tipo potere - interesse legittimo. Il processo, in sintesi, non ha ad oggetto l’atto, in sé privo di effetti negativi nei confronti del privato, bensì il rapporto.</w:t>
      </w:r>
      <w:r>
        <w:rPr>
          <w:i/>
          <w:iCs/>
        </w:rPr>
        <w:t>”</w:t>
      </w:r>
    </w:p>
    <w:p w14:paraId="3A767FC9" w14:textId="0A019D86" w:rsidR="00EE2B19" w:rsidRDefault="00EE2B19" w:rsidP="00EE2B19">
      <w:pPr>
        <w:jc w:val="both"/>
        <w:rPr>
          <w:i/>
          <w:iCs/>
        </w:rPr>
      </w:pPr>
      <w:r>
        <w:t xml:space="preserve">I giudici campani proseguono specificando che: </w:t>
      </w:r>
      <w:r w:rsidR="00102D2F" w:rsidRPr="00102D2F">
        <w:rPr>
          <w:i/>
          <w:iCs/>
        </w:rPr>
        <w:t>“</w:t>
      </w:r>
      <w:r w:rsidRPr="00102D2F">
        <w:rPr>
          <w:i/>
          <w:iCs/>
        </w:rPr>
        <w:t>p</w:t>
      </w:r>
      <w:r w:rsidRPr="00102D2F">
        <w:rPr>
          <w:i/>
          <w:iCs/>
        </w:rPr>
        <w:t>osto che oggetto della cognizione è il rapporto giuridico complessivamente considerato, l’azione introdotta dall’opponente va qualificata come domanda di accertamento negativo, nell’ambito della quale l’onere della prova del credito spetta al suo titolare, ossia al</w:t>
      </w:r>
      <w:r w:rsidR="00102D2F" w:rsidRPr="00102D2F">
        <w:rPr>
          <w:i/>
          <w:iCs/>
        </w:rPr>
        <w:t xml:space="preserve"> Comune</w:t>
      </w:r>
      <w:r w:rsidRPr="00102D2F">
        <w:rPr>
          <w:i/>
          <w:iCs/>
        </w:rPr>
        <w:t xml:space="preserve"> (Cass. </w:t>
      </w:r>
      <w:proofErr w:type="spellStart"/>
      <w:r w:rsidRPr="00102D2F">
        <w:rPr>
          <w:i/>
          <w:iCs/>
        </w:rPr>
        <w:t>Civ</w:t>
      </w:r>
      <w:proofErr w:type="spellEnd"/>
      <w:r w:rsidRPr="00102D2F">
        <w:rPr>
          <w:i/>
          <w:iCs/>
        </w:rPr>
        <w:t>., Sez. III, 12 dicembre 2014, n. 26158).</w:t>
      </w:r>
      <w:r w:rsidR="00102D2F" w:rsidRPr="00102D2F">
        <w:rPr>
          <w:i/>
          <w:iCs/>
        </w:rPr>
        <w:t>”</w:t>
      </w:r>
    </w:p>
    <w:p w14:paraId="040C4F5F" w14:textId="2F235A10" w:rsidR="00102D2F" w:rsidRDefault="00102D2F" w:rsidP="00EE2B19">
      <w:pPr>
        <w:jc w:val="both"/>
      </w:pPr>
      <w:r w:rsidRPr="00102D2F">
        <w:t>Detto onere risulta essere stato raggiunto da</w:t>
      </w:r>
      <w:r>
        <w:t xml:space="preserve">lla </w:t>
      </w:r>
      <w:r w:rsidRPr="00102D2F">
        <w:t>documenta</w:t>
      </w:r>
      <w:r>
        <w:t>zione</w:t>
      </w:r>
      <w:r w:rsidRPr="00102D2F">
        <w:t xml:space="preserve"> portate alla luce da parte della difesa dell’amministrazione convenuta, la quale ha provato che le modalità e i mezzi con i quali si è provveduto all’occupazione del suolo pubblico risultano conformi </w:t>
      </w:r>
      <w:r>
        <w:t>al</w:t>
      </w:r>
      <w:r w:rsidRPr="00102D2F">
        <w:t xml:space="preserve"> Regolamento comunale in materia vigente </w:t>
      </w:r>
      <w:r w:rsidRPr="00102D2F">
        <w:rPr>
          <w:i/>
          <w:iCs/>
        </w:rPr>
        <w:t>ratione temporis</w:t>
      </w:r>
      <w:r w:rsidRPr="00102D2F">
        <w:t xml:space="preserve">, secondo cui le occupazioni abusive che non presentano </w:t>
      </w:r>
      <w:r>
        <w:t xml:space="preserve">il </w:t>
      </w:r>
      <w:r w:rsidRPr="00102D2F">
        <w:t>carattere di stabilità si considerano temporanee e si presumono</w:t>
      </w:r>
      <w:r>
        <w:t xml:space="preserve"> </w:t>
      </w:r>
      <w:r w:rsidRPr="00102D2F">
        <w:t>effettuate dal trentesimo giorno antecedente la data del verbale di accertamento redatto da competente pubblico ufficiale</w:t>
      </w:r>
      <w:r>
        <w:t>.</w:t>
      </w:r>
      <w:r w:rsidR="001071EE">
        <w:t xml:space="preserve"> È evidente anche per i giudici del Tribunale di Napoli come g</w:t>
      </w:r>
      <w:r w:rsidR="001071EE" w:rsidRPr="001071EE">
        <w:t>li oggetti utilizzati dall’attore per l’occupazione non sono suscettibili di generare un’occupazione permanente.</w:t>
      </w:r>
    </w:p>
    <w:p w14:paraId="5631E192" w14:textId="081D6AA8" w:rsidR="00265319" w:rsidRPr="00EE2B19" w:rsidRDefault="00265319" w:rsidP="00EE2B19">
      <w:pPr>
        <w:jc w:val="both"/>
      </w:pPr>
      <w:r>
        <w:t>Corretto pertanto l’operato del Comune che sulla scorta del verbale redatto dagli Agenti di Pm ha notificato il provvedimento messo a disposizione dal legislatore per il recupero del giusto Canone</w:t>
      </w:r>
      <w:r w:rsidR="00E0005F">
        <w:t>, o meglio</w:t>
      </w:r>
      <w:r w:rsidR="001071EE">
        <w:t xml:space="preserve"> per il recupero dell’</w:t>
      </w:r>
      <w:r w:rsidR="00E0005F">
        <w:t>Indennità,</w:t>
      </w:r>
      <w:r>
        <w:t xml:space="preserve"> dovut</w:t>
      </w:r>
      <w:r w:rsidR="00E0005F">
        <w:t>a</w:t>
      </w:r>
      <w:r>
        <w:t xml:space="preserve"> a favore de</w:t>
      </w:r>
      <w:r w:rsidR="001071EE">
        <w:t>ll’</w:t>
      </w:r>
      <w:r>
        <w:t>ent</w:t>
      </w:r>
      <w:r w:rsidR="001071EE">
        <w:t xml:space="preserve">e </w:t>
      </w:r>
      <w:r>
        <w:t>territorial</w:t>
      </w:r>
      <w:r w:rsidR="001071EE">
        <w:t>e</w:t>
      </w:r>
      <w:r>
        <w:t xml:space="preserve"> per l’occupazione </w:t>
      </w:r>
      <w:r w:rsidR="001071EE">
        <w:t xml:space="preserve">temporanea </w:t>
      </w:r>
      <w:r>
        <w:t xml:space="preserve">del suolo pubblico sfruttato </w:t>
      </w:r>
      <w:r w:rsidR="001071EE">
        <w:t xml:space="preserve">con </w:t>
      </w:r>
      <w:r w:rsidR="001071EE" w:rsidRPr="001071EE">
        <w:t>panche mobili, cassette di legno e merce</w:t>
      </w:r>
      <w:r w:rsidR="001071EE">
        <w:t xml:space="preserve">, </w:t>
      </w:r>
      <w:r>
        <w:t>senza la preventiva concessione e regolarizzazione</w:t>
      </w:r>
      <w:r w:rsidR="00E0005F">
        <w:t>.</w:t>
      </w:r>
      <w:r w:rsidR="001071EE">
        <w:t xml:space="preserve"> Richiesta calcolata secondo il criterio afflittivo voluto dal Legislatore per i 30 giorni antecedenti la data del verbale redatto dalla Polizia Locale.</w:t>
      </w:r>
    </w:p>
    <w:sectPr w:rsidR="00265319" w:rsidRPr="00EE2B1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2CB"/>
    <w:rsid w:val="00102D2F"/>
    <w:rsid w:val="001071EE"/>
    <w:rsid w:val="00265319"/>
    <w:rsid w:val="00366798"/>
    <w:rsid w:val="005D02CB"/>
    <w:rsid w:val="006672EA"/>
    <w:rsid w:val="00806595"/>
    <w:rsid w:val="00D3499E"/>
    <w:rsid w:val="00DB1C15"/>
    <w:rsid w:val="00E0005F"/>
    <w:rsid w:val="00EE2B19"/>
    <w:rsid w:val="00F3724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CD3B1"/>
  <w15:chartTrackingRefBased/>
  <w15:docId w15:val="{AA45E47A-D772-4075-A878-76EEBA42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D0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D0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D02C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D02C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D02C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D02C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D02C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D02C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D02C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D02C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D02C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D02C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D02C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D02C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D02C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D02C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D02C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D02CB"/>
    <w:rPr>
      <w:rFonts w:eastAsiaTheme="majorEastAsia" w:cstheme="majorBidi"/>
      <w:color w:val="272727" w:themeColor="text1" w:themeTint="D8"/>
    </w:rPr>
  </w:style>
  <w:style w:type="paragraph" w:styleId="Titolo">
    <w:name w:val="Title"/>
    <w:basedOn w:val="Normale"/>
    <w:next w:val="Normale"/>
    <w:link w:val="TitoloCarattere"/>
    <w:uiPriority w:val="10"/>
    <w:qFormat/>
    <w:rsid w:val="005D0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D02C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D02C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D02C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D02C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D02CB"/>
    <w:rPr>
      <w:i/>
      <w:iCs/>
      <w:color w:val="404040" w:themeColor="text1" w:themeTint="BF"/>
    </w:rPr>
  </w:style>
  <w:style w:type="paragraph" w:styleId="Paragrafoelenco">
    <w:name w:val="List Paragraph"/>
    <w:basedOn w:val="Normale"/>
    <w:uiPriority w:val="34"/>
    <w:qFormat/>
    <w:rsid w:val="005D02CB"/>
    <w:pPr>
      <w:ind w:left="720"/>
      <w:contextualSpacing/>
    </w:pPr>
  </w:style>
  <w:style w:type="character" w:styleId="Enfasiintensa">
    <w:name w:val="Intense Emphasis"/>
    <w:basedOn w:val="Carpredefinitoparagrafo"/>
    <w:uiPriority w:val="21"/>
    <w:qFormat/>
    <w:rsid w:val="005D02CB"/>
    <w:rPr>
      <w:i/>
      <w:iCs/>
      <w:color w:val="2F5496" w:themeColor="accent1" w:themeShade="BF"/>
    </w:rPr>
  </w:style>
  <w:style w:type="paragraph" w:styleId="Citazioneintensa">
    <w:name w:val="Intense Quote"/>
    <w:basedOn w:val="Normale"/>
    <w:next w:val="Normale"/>
    <w:link w:val="CitazioneintensaCarattere"/>
    <w:uiPriority w:val="30"/>
    <w:qFormat/>
    <w:rsid w:val="005D0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D02CB"/>
    <w:rPr>
      <w:i/>
      <w:iCs/>
      <w:color w:val="2F5496" w:themeColor="accent1" w:themeShade="BF"/>
    </w:rPr>
  </w:style>
  <w:style w:type="character" w:styleId="Riferimentointenso">
    <w:name w:val="Intense Reference"/>
    <w:basedOn w:val="Carpredefinitoparagrafo"/>
    <w:uiPriority w:val="32"/>
    <w:qFormat/>
    <w:rsid w:val="005D02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488</Words>
  <Characters>2783</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4</cp:revision>
  <dcterms:created xsi:type="dcterms:W3CDTF">2025-07-17T21:17:00Z</dcterms:created>
  <dcterms:modified xsi:type="dcterms:W3CDTF">2025-07-17T22:07:00Z</dcterms:modified>
</cp:coreProperties>
</file>