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21C5" w14:textId="5664A042" w:rsidR="00F35C40" w:rsidRDefault="00F35C40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Titolo: </w:t>
      </w:r>
      <w:r w:rsidR="00CD557C">
        <w:rPr>
          <w:rFonts w:ascii="Times New Roman" w:hAnsi="Times New Roman" w:cs="Times New Roman"/>
          <w:sz w:val="24"/>
          <w:szCs w:val="24"/>
        </w:rPr>
        <w:t>Cosa resta del</w:t>
      </w:r>
      <w:r>
        <w:rPr>
          <w:rFonts w:ascii="Times New Roman" w:hAnsi="Times New Roman" w:cs="Times New Roman"/>
          <w:sz w:val="24"/>
          <w:szCs w:val="24"/>
        </w:rPr>
        <w:t xml:space="preserve"> vincolo della parità di gettito nel Canone Unico Patrimoniale</w:t>
      </w:r>
    </w:p>
    <w:p w14:paraId="2591FCA2" w14:textId="55CB0340" w:rsidR="00F35C40" w:rsidRDefault="00F35C40" w:rsidP="00F35C4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Nell’introdurre la nuova entrata patrimoniale conosciuta con l’acronimo CUP, </w:t>
      </w:r>
      <w:r w:rsidRPr="00A25761">
        <w:rPr>
          <w:rFonts w:ascii="Times New Roman" w:hAnsi="Times New Roman" w:cs="Times New Roman"/>
          <w:sz w:val="24"/>
          <w:szCs w:val="24"/>
        </w:rPr>
        <w:t xml:space="preserve">il Legislatore ha voluto </w:t>
      </w:r>
      <w:r>
        <w:rPr>
          <w:rFonts w:ascii="Times New Roman" w:hAnsi="Times New Roman" w:cs="Times New Roman"/>
          <w:sz w:val="24"/>
          <w:szCs w:val="24"/>
        </w:rPr>
        <w:t xml:space="preserve">fissare </w:t>
      </w:r>
      <w:r w:rsidRPr="00A25761">
        <w:rPr>
          <w:rFonts w:ascii="Times New Roman" w:hAnsi="Times New Roman" w:cs="Times New Roman"/>
          <w:sz w:val="24"/>
          <w:szCs w:val="24"/>
        </w:rPr>
        <w:t>un vincolo, circa l’invarianza di gettito rispetto a quanto avveniva con i precedenti prelievi.</w:t>
      </w:r>
      <w:r>
        <w:rPr>
          <w:rFonts w:ascii="Times New Roman" w:hAnsi="Times New Roman" w:cs="Times New Roman"/>
          <w:sz w:val="24"/>
          <w:szCs w:val="24"/>
        </w:rPr>
        <w:t xml:space="preserve"> Nel testo normativo </w:t>
      </w:r>
      <w:r>
        <w:rPr>
          <w:rFonts w:ascii="Times New Roman" w:hAnsi="Times New Roman" w:cs="Times New Roman"/>
          <w:sz w:val="24"/>
          <w:szCs w:val="24"/>
        </w:rPr>
        <w:t xml:space="preserve">al comma 817 articolo 1 della Legge 160/2019 </w:t>
      </w:r>
      <w:r>
        <w:rPr>
          <w:rFonts w:ascii="Times New Roman" w:hAnsi="Times New Roman" w:cs="Times New Roman"/>
          <w:sz w:val="24"/>
          <w:szCs w:val="24"/>
        </w:rPr>
        <w:t xml:space="preserve">si legge: </w:t>
      </w:r>
      <w:r w:rsidRPr="00A25761">
        <w:rPr>
          <w:rFonts w:ascii="Times New Roman" w:hAnsi="Times New Roman" w:cs="Times New Roman"/>
          <w:i/>
          <w:iCs/>
          <w:sz w:val="24"/>
          <w:szCs w:val="24"/>
        </w:rPr>
        <w:t>“Il canone è disciplinato dagli enti in modo da assicurare un gettito pari a quello conseguito dai canoni e dai tributi che sono sostituiti dal canone, fatta salva, in ogni caso, la possibilità di variare il gettito attraverso la modifica delle tariffe”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C95AA84" w14:textId="6622A4AF" w:rsidR="00F35C40" w:rsidRDefault="00F35C40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 si tratta davvero di un vincolo, oppure lo possiamo considerare un criterio di metodo da seguire? </w:t>
      </w:r>
      <w:r>
        <w:rPr>
          <w:rFonts w:ascii="Times New Roman" w:hAnsi="Times New Roman" w:cs="Times New Roman"/>
          <w:sz w:val="24"/>
          <w:szCs w:val="24"/>
        </w:rPr>
        <w:t xml:space="preserve">Questa </w:t>
      </w:r>
      <w:r>
        <w:rPr>
          <w:rFonts w:ascii="Times New Roman" w:hAnsi="Times New Roman" w:cs="Times New Roman"/>
          <w:sz w:val="24"/>
          <w:szCs w:val="24"/>
        </w:rPr>
        <w:t>disposizione in realtà la dobbiamo</w:t>
      </w:r>
      <w:r>
        <w:rPr>
          <w:rFonts w:ascii="Times New Roman" w:hAnsi="Times New Roman" w:cs="Times New Roman"/>
          <w:sz w:val="24"/>
          <w:szCs w:val="24"/>
        </w:rPr>
        <w:t xml:space="preserve"> intender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come una </w:t>
      </w:r>
      <w:r>
        <w:rPr>
          <w:rFonts w:ascii="Times New Roman" w:hAnsi="Times New Roman" w:cs="Times New Roman"/>
          <w:sz w:val="24"/>
          <w:szCs w:val="24"/>
        </w:rPr>
        <w:t xml:space="preserve">linea </w:t>
      </w:r>
      <w:r>
        <w:rPr>
          <w:rFonts w:ascii="Times New Roman" w:hAnsi="Times New Roman" w:cs="Times New Roman"/>
          <w:sz w:val="24"/>
          <w:szCs w:val="24"/>
        </w:rPr>
        <w:t>guida</w:t>
      </w:r>
      <w:r>
        <w:rPr>
          <w:rFonts w:ascii="Times New Roman" w:hAnsi="Times New Roman" w:cs="Times New Roman"/>
          <w:sz w:val="24"/>
          <w:szCs w:val="24"/>
        </w:rPr>
        <w:t xml:space="preserve"> fornita ai Comuni, Province e Città Metropolitane necessaria </w:t>
      </w:r>
      <w:r>
        <w:rPr>
          <w:rFonts w:ascii="Times New Roman" w:hAnsi="Times New Roman" w:cs="Times New Roman"/>
          <w:sz w:val="24"/>
          <w:szCs w:val="24"/>
        </w:rPr>
        <w:t xml:space="preserve">per strutturare la </w:t>
      </w:r>
      <w:r w:rsidR="00AB1D24">
        <w:rPr>
          <w:rFonts w:ascii="Times New Roman" w:hAnsi="Times New Roman" w:cs="Times New Roman"/>
          <w:sz w:val="24"/>
          <w:szCs w:val="24"/>
        </w:rPr>
        <w:t>propria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disciplina </w:t>
      </w:r>
      <w:r>
        <w:rPr>
          <w:rFonts w:ascii="Times New Roman" w:hAnsi="Times New Roman" w:cs="Times New Roman"/>
          <w:sz w:val="24"/>
          <w:szCs w:val="24"/>
        </w:rPr>
        <w:t xml:space="preserve">territoriale </w:t>
      </w:r>
      <w:r>
        <w:rPr>
          <w:rFonts w:ascii="Times New Roman" w:hAnsi="Times New Roman" w:cs="Times New Roman"/>
          <w:sz w:val="24"/>
          <w:szCs w:val="24"/>
        </w:rPr>
        <w:t>a livello regolamentare e di impianto tariffario. Tutti gli enti interessati, nel 2021 dovevano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4493">
        <w:rPr>
          <w:rFonts w:ascii="Times New Roman" w:hAnsi="Times New Roman" w:cs="Times New Roman"/>
          <w:sz w:val="24"/>
          <w:szCs w:val="24"/>
        </w:rPr>
        <w:t>infatti impostare</w:t>
      </w:r>
      <w:r>
        <w:rPr>
          <w:rFonts w:ascii="Times New Roman" w:hAnsi="Times New Roman" w:cs="Times New Roman"/>
          <w:sz w:val="24"/>
          <w:szCs w:val="24"/>
        </w:rPr>
        <w:t xml:space="preserve"> la nuova entrata partendo da una base certa, formata dalla sommatoria dei precedenti gettiti </w:t>
      </w:r>
      <w:r>
        <w:rPr>
          <w:rFonts w:ascii="Times New Roman" w:hAnsi="Times New Roman" w:cs="Times New Roman"/>
          <w:sz w:val="24"/>
          <w:szCs w:val="24"/>
        </w:rPr>
        <w:t xml:space="preserve">ottenuti dalla gestione </w:t>
      </w:r>
      <w:r w:rsidR="006F4493">
        <w:rPr>
          <w:rFonts w:ascii="Times New Roman" w:hAnsi="Times New Roman" w:cs="Times New Roman"/>
          <w:sz w:val="24"/>
          <w:szCs w:val="24"/>
        </w:rPr>
        <w:t>dei prelievi</w:t>
      </w:r>
      <w:r>
        <w:rPr>
          <w:rFonts w:ascii="Times New Roman" w:hAnsi="Times New Roman" w:cs="Times New Roman"/>
          <w:sz w:val="24"/>
          <w:szCs w:val="24"/>
        </w:rPr>
        <w:t xml:space="preserve"> adottati </w:t>
      </w:r>
      <w:r>
        <w:rPr>
          <w:rFonts w:ascii="Times New Roman" w:hAnsi="Times New Roman" w:cs="Times New Roman"/>
          <w:sz w:val="24"/>
          <w:szCs w:val="24"/>
        </w:rPr>
        <w:t>fino al 2020</w:t>
      </w:r>
      <w:r w:rsidR="00AB1D24">
        <w:rPr>
          <w:rFonts w:ascii="Times New Roman" w:hAnsi="Times New Roman" w:cs="Times New Roman"/>
          <w:sz w:val="24"/>
          <w:szCs w:val="24"/>
        </w:rPr>
        <w:t>, sia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per le occupazioni di suolo pubblico</w:t>
      </w:r>
      <w:r w:rsidR="00AB1D24">
        <w:rPr>
          <w:rFonts w:ascii="Times New Roman" w:hAnsi="Times New Roman" w:cs="Times New Roman"/>
          <w:sz w:val="24"/>
          <w:szCs w:val="24"/>
        </w:rPr>
        <w:t>, che</w:t>
      </w:r>
      <w:r>
        <w:rPr>
          <w:rFonts w:ascii="Times New Roman" w:hAnsi="Times New Roman" w:cs="Times New Roman"/>
          <w:sz w:val="24"/>
          <w:szCs w:val="24"/>
        </w:rPr>
        <w:t xml:space="preserve"> per le esposizioni pubblicitarie. Lo stesso comma infatti, dopo aver stabilito il criterio della parità di gettito, ha immediatamente precisato che rimane salva la possibilità</w:t>
      </w:r>
      <w:r>
        <w:rPr>
          <w:rFonts w:ascii="Times New Roman" w:hAnsi="Times New Roman" w:cs="Times New Roman"/>
          <w:sz w:val="24"/>
          <w:szCs w:val="24"/>
        </w:rPr>
        <w:t xml:space="preserve">, per </w:t>
      </w:r>
      <w:r w:rsidR="006F4493">
        <w:rPr>
          <w:rFonts w:ascii="Times New Roman" w:hAnsi="Times New Roman" w:cs="Times New Roman"/>
          <w:sz w:val="24"/>
          <w:szCs w:val="24"/>
        </w:rPr>
        <w:t>gli stessi</w:t>
      </w:r>
      <w:r>
        <w:rPr>
          <w:rFonts w:ascii="Times New Roman" w:hAnsi="Times New Roman" w:cs="Times New Roman"/>
          <w:sz w:val="24"/>
          <w:szCs w:val="24"/>
        </w:rPr>
        <w:t xml:space="preserve"> enti,</w:t>
      </w:r>
      <w:r>
        <w:rPr>
          <w:rFonts w:ascii="Times New Roman" w:hAnsi="Times New Roman" w:cs="Times New Roman"/>
          <w:sz w:val="24"/>
          <w:szCs w:val="24"/>
        </w:rPr>
        <w:t xml:space="preserve"> di variarlo attraverso la modifica delle tariffe.</w:t>
      </w:r>
    </w:p>
    <w:p w14:paraId="5EF90FE5" w14:textId="6683F260" w:rsidR="0036394D" w:rsidRDefault="00F35C40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Questa</w:t>
      </w:r>
      <w:r w:rsidR="00AB1D2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che a prima vista sembra una contraddizione espressa all’interno della stessa frase, in realtà deve essere letta come la volontà di definire una disciplina che</w:t>
      </w:r>
      <w:r w:rsidR="006F4493">
        <w:rPr>
          <w:rFonts w:ascii="Times New Roman" w:hAnsi="Times New Roman" w:cs="Times New Roman"/>
          <w:sz w:val="24"/>
          <w:szCs w:val="24"/>
        </w:rPr>
        <w:t xml:space="preserve"> da una parte </w:t>
      </w:r>
      <w:r>
        <w:rPr>
          <w:rFonts w:ascii="Times New Roman" w:hAnsi="Times New Roman" w:cs="Times New Roman"/>
          <w:sz w:val="24"/>
          <w:szCs w:val="24"/>
        </w:rPr>
        <w:t>fosse coerente con i precedenti prelievi</w:t>
      </w:r>
      <w:r w:rsidR="0036394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4493">
        <w:rPr>
          <w:rFonts w:ascii="Times New Roman" w:hAnsi="Times New Roman" w:cs="Times New Roman"/>
          <w:sz w:val="24"/>
          <w:szCs w:val="24"/>
        </w:rPr>
        <w:t xml:space="preserve">e </w:t>
      </w:r>
      <w:r w:rsidR="00380E1A">
        <w:rPr>
          <w:rFonts w:ascii="Times New Roman" w:hAnsi="Times New Roman" w:cs="Times New Roman"/>
          <w:sz w:val="24"/>
          <w:szCs w:val="24"/>
        </w:rPr>
        <w:t xml:space="preserve">che </w:t>
      </w:r>
      <w:r w:rsidR="006F4493">
        <w:rPr>
          <w:rFonts w:ascii="Times New Roman" w:hAnsi="Times New Roman" w:cs="Times New Roman"/>
          <w:sz w:val="24"/>
          <w:szCs w:val="24"/>
        </w:rPr>
        <w:t xml:space="preserve">dall’altra garantisse </w:t>
      </w:r>
      <w:r w:rsidR="006F4493">
        <w:rPr>
          <w:rFonts w:ascii="Times New Roman" w:hAnsi="Times New Roman" w:cs="Times New Roman"/>
          <w:sz w:val="24"/>
          <w:szCs w:val="24"/>
        </w:rPr>
        <w:t xml:space="preserve">ai soggetti attivi della nuova entrata patrimoniale, quell’autonomia e potestà regolamentare in materia di proprie </w:t>
      </w:r>
      <w:r w:rsidR="0036394D">
        <w:rPr>
          <w:rFonts w:ascii="Times New Roman" w:hAnsi="Times New Roman" w:cs="Times New Roman"/>
          <w:sz w:val="24"/>
          <w:szCs w:val="24"/>
        </w:rPr>
        <w:t>entrate, riconosciuta</w:t>
      </w:r>
      <w:r w:rsidR="006F4493">
        <w:rPr>
          <w:rFonts w:ascii="Times New Roman" w:hAnsi="Times New Roman" w:cs="Times New Roman"/>
          <w:sz w:val="24"/>
          <w:szCs w:val="24"/>
        </w:rPr>
        <w:t xml:space="preserve"> dall’articolo 52 del D.Lgs 446/1997</w:t>
      </w:r>
      <w:r w:rsidR="006F44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BB77B9" w14:textId="73BFEE52" w:rsidR="00F35C40" w:rsidRDefault="006F4493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doppia finalità chiara, un </w:t>
      </w:r>
      <w:r w:rsidRPr="00AB1D24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380E1A" w:rsidRPr="00AB1D24">
        <w:rPr>
          <w:rFonts w:ascii="Times New Roman" w:hAnsi="Times New Roman" w:cs="Times New Roman"/>
          <w:i/>
          <w:iCs/>
          <w:sz w:val="24"/>
          <w:szCs w:val="24"/>
        </w:rPr>
        <w:t>eit</w:t>
      </w:r>
      <w:r w:rsidRPr="00AB1D24">
        <w:rPr>
          <w:rFonts w:ascii="Times New Roman" w:hAnsi="Times New Roman" w:cs="Times New Roman"/>
          <w:i/>
          <w:iCs/>
          <w:sz w:val="24"/>
          <w:szCs w:val="24"/>
        </w:rPr>
        <w:t>motiv</w:t>
      </w:r>
      <w:r>
        <w:rPr>
          <w:rFonts w:ascii="Times New Roman" w:hAnsi="Times New Roman" w:cs="Times New Roman"/>
          <w:sz w:val="24"/>
          <w:szCs w:val="24"/>
        </w:rPr>
        <w:t xml:space="preserve"> che ritroviamo in tutte le questioni aperte del Canone Unico. </w:t>
      </w:r>
      <w:r w:rsidR="0036394D">
        <w:rPr>
          <w:rFonts w:ascii="Times New Roman" w:hAnsi="Times New Roman" w:cs="Times New Roman"/>
          <w:sz w:val="24"/>
          <w:szCs w:val="24"/>
        </w:rPr>
        <w:t>L</w:t>
      </w:r>
      <w:r w:rsidR="0036394D">
        <w:rPr>
          <w:rFonts w:ascii="Times New Roman" w:hAnsi="Times New Roman" w:cs="Times New Roman"/>
          <w:sz w:val="24"/>
          <w:szCs w:val="24"/>
        </w:rPr>
        <w:t xml:space="preserve">’obiettivo dichiarato del Legislatore era quello di riunificare le entrate </w:t>
      </w:r>
      <w:r w:rsidR="0036394D">
        <w:rPr>
          <w:rFonts w:ascii="Times New Roman" w:hAnsi="Times New Roman" w:cs="Times New Roman"/>
          <w:sz w:val="24"/>
          <w:szCs w:val="24"/>
        </w:rPr>
        <w:t>senza</w:t>
      </w:r>
      <w:r w:rsidR="0036394D">
        <w:rPr>
          <w:rFonts w:ascii="Times New Roman" w:hAnsi="Times New Roman" w:cs="Times New Roman"/>
          <w:sz w:val="24"/>
          <w:szCs w:val="24"/>
        </w:rPr>
        <w:t xml:space="preserve"> stravolgerle, </w:t>
      </w:r>
      <w:r w:rsidR="0036394D">
        <w:rPr>
          <w:rFonts w:ascii="Times New Roman" w:hAnsi="Times New Roman" w:cs="Times New Roman"/>
          <w:sz w:val="24"/>
          <w:szCs w:val="24"/>
        </w:rPr>
        <w:t>lasciando comunque quell’autonomia agli enti territoriali nel regolar</w:t>
      </w:r>
      <w:r w:rsidR="00380E1A">
        <w:rPr>
          <w:rFonts w:ascii="Times New Roman" w:hAnsi="Times New Roman" w:cs="Times New Roman"/>
          <w:sz w:val="24"/>
          <w:szCs w:val="24"/>
        </w:rPr>
        <w:t>la</w:t>
      </w:r>
      <w:r w:rsidR="0036394D">
        <w:rPr>
          <w:rFonts w:ascii="Times New Roman" w:hAnsi="Times New Roman" w:cs="Times New Roman"/>
          <w:sz w:val="24"/>
          <w:szCs w:val="24"/>
        </w:rPr>
        <w:t xml:space="preserve"> in base alle proprie caratteristiche e alla propria storia. </w:t>
      </w:r>
      <w:r>
        <w:rPr>
          <w:rFonts w:ascii="Times New Roman" w:hAnsi="Times New Roman" w:cs="Times New Roman"/>
          <w:sz w:val="24"/>
          <w:szCs w:val="24"/>
        </w:rPr>
        <w:t xml:space="preserve">Se ci pensiamo bene, su ogni tematica che riguarda questa entrata, si torna sempre a quel mix fatto da </w:t>
      </w:r>
      <w:r w:rsidR="005E1567">
        <w:rPr>
          <w:rFonts w:ascii="Times New Roman" w:hAnsi="Times New Roman" w:cs="Times New Roman"/>
          <w:sz w:val="24"/>
          <w:szCs w:val="24"/>
        </w:rPr>
        <w:t xml:space="preserve">vincoli normativi e disposizioni regolamentari, con quel limite invisibile che corre tra le due parti e mette </w:t>
      </w:r>
      <w:r w:rsidR="0036394D">
        <w:rPr>
          <w:rFonts w:ascii="Times New Roman" w:hAnsi="Times New Roman" w:cs="Times New Roman"/>
          <w:sz w:val="24"/>
          <w:szCs w:val="24"/>
        </w:rPr>
        <w:t xml:space="preserve">a volte in difficoltà i Comuni nel capire fin dove </w:t>
      </w:r>
      <w:r w:rsidR="00380E1A">
        <w:rPr>
          <w:rFonts w:ascii="Times New Roman" w:hAnsi="Times New Roman" w:cs="Times New Roman"/>
          <w:sz w:val="24"/>
          <w:szCs w:val="24"/>
        </w:rPr>
        <w:t xml:space="preserve">potersi </w:t>
      </w:r>
      <w:r w:rsidR="0036394D">
        <w:rPr>
          <w:rFonts w:ascii="Times New Roman" w:hAnsi="Times New Roman" w:cs="Times New Roman"/>
          <w:sz w:val="24"/>
          <w:szCs w:val="24"/>
        </w:rPr>
        <w:t>spinger</w:t>
      </w:r>
      <w:r w:rsidR="00380E1A">
        <w:rPr>
          <w:rFonts w:ascii="Times New Roman" w:hAnsi="Times New Roman" w:cs="Times New Roman"/>
          <w:sz w:val="24"/>
          <w:szCs w:val="24"/>
        </w:rPr>
        <w:t>e</w:t>
      </w:r>
      <w:r w:rsidR="0036394D">
        <w:rPr>
          <w:rFonts w:ascii="Times New Roman" w:hAnsi="Times New Roman" w:cs="Times New Roman"/>
          <w:sz w:val="24"/>
          <w:szCs w:val="24"/>
        </w:rPr>
        <w:t>. La giovane storia di questa entrata ne è già testimone, basti pensare alle sentenze</w:t>
      </w:r>
      <w:r w:rsidR="00380E1A">
        <w:rPr>
          <w:rFonts w:ascii="Times New Roman" w:hAnsi="Times New Roman" w:cs="Times New Roman"/>
          <w:sz w:val="24"/>
          <w:szCs w:val="24"/>
        </w:rPr>
        <w:t xml:space="preserve"> del TAR Lazio </w:t>
      </w:r>
      <w:r w:rsidR="00AB1D24">
        <w:rPr>
          <w:rFonts w:ascii="Times New Roman" w:hAnsi="Times New Roman" w:cs="Times New Roman"/>
          <w:sz w:val="24"/>
          <w:szCs w:val="24"/>
        </w:rPr>
        <w:t>pubblicate</w:t>
      </w:r>
      <w:r w:rsidR="00380E1A">
        <w:rPr>
          <w:rFonts w:ascii="Times New Roman" w:hAnsi="Times New Roman" w:cs="Times New Roman"/>
          <w:sz w:val="24"/>
          <w:szCs w:val="24"/>
        </w:rPr>
        <w:t xml:space="preserve"> nell’aprile del 2022 quando condannò l’ente</w:t>
      </w:r>
      <w:r w:rsidR="00AB1D24">
        <w:rPr>
          <w:rFonts w:ascii="Times New Roman" w:hAnsi="Times New Roman" w:cs="Times New Roman"/>
          <w:sz w:val="24"/>
          <w:szCs w:val="24"/>
        </w:rPr>
        <w:t xml:space="preserve"> locale</w:t>
      </w:r>
      <w:r w:rsidR="00380E1A">
        <w:rPr>
          <w:rFonts w:ascii="Times New Roman" w:hAnsi="Times New Roman" w:cs="Times New Roman"/>
          <w:sz w:val="24"/>
          <w:szCs w:val="24"/>
        </w:rPr>
        <w:t xml:space="preserve"> perché non aveva rispettato il comma 817.</w:t>
      </w:r>
    </w:p>
    <w:p w14:paraId="66ECD217" w14:textId="5D944EF2" w:rsidR="00F35C40" w:rsidRDefault="00380E1A" w:rsidP="00380E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questo contesto, dai contorni non nitidissimi, </w:t>
      </w:r>
      <w:r w:rsidR="00F35C40">
        <w:rPr>
          <w:rFonts w:ascii="Times New Roman" w:hAnsi="Times New Roman" w:cs="Times New Roman"/>
          <w:sz w:val="24"/>
          <w:szCs w:val="24"/>
        </w:rPr>
        <w:t xml:space="preserve">possiamo </w:t>
      </w:r>
      <w:r>
        <w:rPr>
          <w:rFonts w:ascii="Times New Roman" w:hAnsi="Times New Roman" w:cs="Times New Roman"/>
          <w:sz w:val="24"/>
          <w:szCs w:val="24"/>
        </w:rPr>
        <w:t>comunque</w:t>
      </w:r>
      <w:r w:rsidR="00F35C40">
        <w:rPr>
          <w:rFonts w:ascii="Times New Roman" w:hAnsi="Times New Roman" w:cs="Times New Roman"/>
          <w:sz w:val="24"/>
          <w:szCs w:val="24"/>
        </w:rPr>
        <w:t xml:space="preserve"> affermare che già per il 2021 non esisteva un</w:t>
      </w:r>
      <w:r>
        <w:rPr>
          <w:rFonts w:ascii="Times New Roman" w:hAnsi="Times New Roman" w:cs="Times New Roman"/>
          <w:sz w:val="24"/>
          <w:szCs w:val="24"/>
        </w:rPr>
        <w:t xml:space="preserve"> vero</w:t>
      </w:r>
      <w:r w:rsidR="00F35C40">
        <w:rPr>
          <w:rFonts w:ascii="Times New Roman" w:hAnsi="Times New Roman" w:cs="Times New Roman"/>
          <w:sz w:val="24"/>
          <w:szCs w:val="24"/>
        </w:rPr>
        <w:t xml:space="preserve"> vincolo di parità di gettito</w:t>
      </w:r>
      <w:r>
        <w:rPr>
          <w:rFonts w:ascii="Times New Roman" w:hAnsi="Times New Roman" w:cs="Times New Roman"/>
          <w:sz w:val="24"/>
          <w:szCs w:val="24"/>
        </w:rPr>
        <w:t>. L</w:t>
      </w:r>
      <w:r w:rsidR="00F35C40">
        <w:rPr>
          <w:rFonts w:ascii="Times New Roman" w:hAnsi="Times New Roman" w:cs="Times New Roman"/>
          <w:sz w:val="24"/>
          <w:szCs w:val="24"/>
        </w:rPr>
        <w:t xml:space="preserve">e Pubbliche Amministrazioni, con provvedimenti adeguatamente motivati e nel rispetto dei principi generali che regolano i prelievi di diritto pubblico, </w:t>
      </w:r>
      <w:r>
        <w:rPr>
          <w:rFonts w:ascii="Times New Roman" w:hAnsi="Times New Roman" w:cs="Times New Roman"/>
          <w:sz w:val="24"/>
          <w:szCs w:val="24"/>
        </w:rPr>
        <w:t xml:space="preserve">tra i quali certamente i </w:t>
      </w:r>
      <w:r w:rsidRPr="00380E1A">
        <w:rPr>
          <w:rFonts w:ascii="Times New Roman" w:hAnsi="Times New Roman" w:cs="Times New Roman"/>
          <w:sz w:val="24"/>
          <w:szCs w:val="24"/>
        </w:rPr>
        <w:t>principi costituzionali contenuti negli articoli 23, 53 e 119 della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0E1A">
        <w:rPr>
          <w:rFonts w:ascii="Times New Roman" w:hAnsi="Times New Roman" w:cs="Times New Roman"/>
          <w:sz w:val="24"/>
          <w:szCs w:val="24"/>
        </w:rPr>
        <w:t>Costituzione</w:t>
      </w:r>
      <w:r w:rsidR="0043525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5C40">
        <w:rPr>
          <w:rFonts w:ascii="Times New Roman" w:hAnsi="Times New Roman" w:cs="Times New Roman"/>
          <w:sz w:val="24"/>
          <w:szCs w:val="24"/>
        </w:rPr>
        <w:t xml:space="preserve">potevano legittimamente fissare </w:t>
      </w:r>
      <w:r w:rsidR="003F6837">
        <w:rPr>
          <w:rFonts w:ascii="Times New Roman" w:hAnsi="Times New Roman" w:cs="Times New Roman"/>
          <w:sz w:val="24"/>
          <w:szCs w:val="24"/>
        </w:rPr>
        <w:t xml:space="preserve">nuove </w:t>
      </w:r>
      <w:r w:rsidR="00F35C40">
        <w:rPr>
          <w:rFonts w:ascii="Times New Roman" w:hAnsi="Times New Roman" w:cs="Times New Roman"/>
          <w:sz w:val="24"/>
          <w:szCs w:val="24"/>
        </w:rPr>
        <w:t>misure tariffarie</w:t>
      </w:r>
      <w:r w:rsidR="003F6837">
        <w:rPr>
          <w:rFonts w:ascii="Times New Roman" w:hAnsi="Times New Roman" w:cs="Times New Roman"/>
          <w:sz w:val="24"/>
          <w:szCs w:val="24"/>
        </w:rPr>
        <w:t xml:space="preserve"> </w:t>
      </w:r>
      <w:r w:rsidR="00F35C40">
        <w:rPr>
          <w:rFonts w:ascii="Times New Roman" w:hAnsi="Times New Roman" w:cs="Times New Roman"/>
          <w:sz w:val="24"/>
          <w:szCs w:val="24"/>
        </w:rPr>
        <w:t>andando a derogare la prescrizione della parità di gettito.</w:t>
      </w:r>
    </w:p>
    <w:p w14:paraId="2644AD0D" w14:textId="545F1291" w:rsidR="00F35C40" w:rsidRDefault="00F35C40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resto, se non fosse cambiata la natura dell’entrata</w:t>
      </w:r>
      <w:r w:rsidR="0043525E">
        <w:rPr>
          <w:rFonts w:ascii="Times New Roman" w:hAnsi="Times New Roman" w:cs="Times New Roman"/>
          <w:sz w:val="24"/>
          <w:szCs w:val="24"/>
        </w:rPr>
        <w:t xml:space="preserve"> il primo gennaio 2021</w:t>
      </w:r>
      <w:r>
        <w:rPr>
          <w:rFonts w:ascii="Times New Roman" w:hAnsi="Times New Roman" w:cs="Times New Roman"/>
          <w:sz w:val="24"/>
          <w:szCs w:val="24"/>
        </w:rPr>
        <w:t>, i Comuni avrebbero potuto</w:t>
      </w:r>
      <w:r w:rsidR="003F6837">
        <w:rPr>
          <w:rFonts w:ascii="Times New Roman" w:hAnsi="Times New Roman" w:cs="Times New Roman"/>
          <w:sz w:val="24"/>
          <w:szCs w:val="24"/>
        </w:rPr>
        <w:t xml:space="preserve"> comunque </w:t>
      </w:r>
      <w:r>
        <w:rPr>
          <w:rFonts w:ascii="Times New Roman" w:hAnsi="Times New Roman" w:cs="Times New Roman"/>
          <w:sz w:val="24"/>
          <w:szCs w:val="24"/>
        </w:rPr>
        <w:t xml:space="preserve">attivare manovre tariffarie diverse rispetto al passato, </w:t>
      </w:r>
      <w:r w:rsidR="003F6837">
        <w:rPr>
          <w:rFonts w:ascii="Times New Roman" w:hAnsi="Times New Roman" w:cs="Times New Roman"/>
          <w:sz w:val="24"/>
          <w:szCs w:val="24"/>
        </w:rPr>
        <w:t>stabilendo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837">
        <w:rPr>
          <w:rFonts w:ascii="Times New Roman" w:hAnsi="Times New Roman" w:cs="Times New Roman"/>
          <w:sz w:val="24"/>
          <w:szCs w:val="24"/>
        </w:rPr>
        <w:t>ad esempio</w:t>
      </w:r>
      <w:r w:rsidR="00690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nuove agevolazioni e, per alcune fattispecie, prevedere pure delle esenzioni. Questa facoltà non è venuta meno nel passaggio tra il 2020 e il 2021, e, a maggior ragione è consentita oggi al terzo anno di applicazione del Canone Unico.</w:t>
      </w:r>
    </w:p>
    <w:p w14:paraId="33AF8665" w14:textId="39700D25" w:rsidR="00F35C40" w:rsidRPr="00166182" w:rsidRDefault="00F35C40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 w:rsidRPr="00166182">
        <w:rPr>
          <w:rFonts w:ascii="Times New Roman" w:hAnsi="Times New Roman" w:cs="Times New Roman"/>
          <w:sz w:val="24"/>
          <w:szCs w:val="24"/>
        </w:rPr>
        <w:lastRenderedPageBreak/>
        <w:t>È chiaro che</w:t>
      </w:r>
      <w:r>
        <w:rPr>
          <w:rFonts w:ascii="Times New Roman" w:hAnsi="Times New Roman" w:cs="Times New Roman"/>
          <w:sz w:val="24"/>
          <w:szCs w:val="24"/>
        </w:rPr>
        <w:t xml:space="preserve"> qualunque </w:t>
      </w:r>
      <w:r w:rsidRPr="00166182">
        <w:rPr>
          <w:rFonts w:ascii="Times New Roman" w:hAnsi="Times New Roman" w:cs="Times New Roman"/>
          <w:sz w:val="24"/>
          <w:szCs w:val="24"/>
        </w:rPr>
        <w:t xml:space="preserve">iniziativa </w:t>
      </w:r>
      <w:r w:rsidR="0043525E">
        <w:rPr>
          <w:rFonts w:ascii="Times New Roman" w:hAnsi="Times New Roman" w:cs="Times New Roman"/>
          <w:sz w:val="24"/>
          <w:szCs w:val="24"/>
        </w:rPr>
        <w:t xml:space="preserve">adottata, </w:t>
      </w:r>
      <w:r w:rsidRPr="0016618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r w:rsidR="009876D4">
        <w:rPr>
          <w:rFonts w:ascii="Times New Roman" w:hAnsi="Times New Roman" w:cs="Times New Roman"/>
          <w:sz w:val="24"/>
          <w:szCs w:val="24"/>
        </w:rPr>
        <w:t>ve</w:t>
      </w:r>
      <w:r w:rsidRPr="00166182">
        <w:rPr>
          <w:rFonts w:ascii="Times New Roman" w:hAnsi="Times New Roman" w:cs="Times New Roman"/>
          <w:sz w:val="24"/>
          <w:szCs w:val="24"/>
        </w:rPr>
        <w:t xml:space="preserve"> rispettare gli equilibri finanziari dell’Ente e </w:t>
      </w:r>
      <w:r w:rsidR="0043525E">
        <w:rPr>
          <w:rFonts w:ascii="Times New Roman" w:hAnsi="Times New Roman" w:cs="Times New Roman"/>
          <w:sz w:val="24"/>
          <w:szCs w:val="24"/>
        </w:rPr>
        <w:t xml:space="preserve">i </w:t>
      </w:r>
      <w:r w:rsidRPr="00166182">
        <w:rPr>
          <w:rFonts w:ascii="Times New Roman" w:hAnsi="Times New Roman" w:cs="Times New Roman"/>
          <w:sz w:val="24"/>
          <w:szCs w:val="24"/>
        </w:rPr>
        <w:t>principi</w:t>
      </w:r>
      <w:r>
        <w:rPr>
          <w:rFonts w:ascii="Times New Roman" w:hAnsi="Times New Roman" w:cs="Times New Roman"/>
          <w:sz w:val="24"/>
          <w:szCs w:val="24"/>
        </w:rPr>
        <w:t xml:space="preserve"> che rimandano al </w:t>
      </w:r>
      <w:r w:rsidRPr="00166182">
        <w:rPr>
          <w:rFonts w:ascii="Times New Roman" w:hAnsi="Times New Roman" w:cs="Times New Roman"/>
          <w:sz w:val="24"/>
          <w:szCs w:val="24"/>
        </w:rPr>
        <w:t>“beneficio economico” di colui che effettua l’occupazione o l’esposizione pubblicitaria e 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6182">
        <w:rPr>
          <w:rFonts w:ascii="Times New Roman" w:hAnsi="Times New Roman" w:cs="Times New Roman"/>
          <w:sz w:val="24"/>
          <w:szCs w:val="24"/>
        </w:rPr>
        <w:t xml:space="preserve">“sacrificio che si impone alla collettività”.  </w:t>
      </w:r>
    </w:p>
    <w:p w14:paraId="4D8D5AEB" w14:textId="4858B91A" w:rsidR="0043525E" w:rsidRDefault="00F35C40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questo </w:t>
      </w:r>
      <w:r w:rsidR="0043525E">
        <w:rPr>
          <w:rFonts w:ascii="Times New Roman" w:hAnsi="Times New Roman" w:cs="Times New Roman"/>
          <w:sz w:val="24"/>
          <w:szCs w:val="24"/>
        </w:rPr>
        <w:t>oggi sarebbe</w:t>
      </w:r>
      <w:r>
        <w:rPr>
          <w:rFonts w:ascii="Times New Roman" w:hAnsi="Times New Roman" w:cs="Times New Roman"/>
          <w:sz w:val="24"/>
          <w:szCs w:val="24"/>
        </w:rPr>
        <w:t xml:space="preserve"> legittimo</w:t>
      </w:r>
      <w:r w:rsidR="0043525E">
        <w:rPr>
          <w:rFonts w:ascii="Times New Roman" w:hAnsi="Times New Roman" w:cs="Times New Roman"/>
          <w:sz w:val="24"/>
          <w:szCs w:val="24"/>
        </w:rPr>
        <w:t xml:space="preserve"> prevedere degli </w:t>
      </w:r>
      <w:r w:rsidR="003E0E76">
        <w:rPr>
          <w:rFonts w:ascii="Times New Roman" w:hAnsi="Times New Roman" w:cs="Times New Roman"/>
          <w:sz w:val="24"/>
          <w:szCs w:val="24"/>
        </w:rPr>
        <w:t>adeguamenti</w:t>
      </w:r>
      <w:r w:rsidR="0043525E">
        <w:rPr>
          <w:rFonts w:ascii="Times New Roman" w:hAnsi="Times New Roman" w:cs="Times New Roman"/>
          <w:sz w:val="24"/>
          <w:szCs w:val="24"/>
        </w:rPr>
        <w:t xml:space="preserve"> tariffari, delle modifiche ai coefficienti per alcune tipologie, così come di diverso segno, prevedere delle riduzioni, agevolazioni ed esenzioni.</w:t>
      </w:r>
    </w:p>
    <w:p w14:paraId="6FC38CC8" w14:textId="29250D2E" w:rsidR="00F35C40" w:rsidRDefault="0043525E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È del tutto legittimo attendersi anche delle modifiche al gettito dell’entrata derivante da </w:t>
      </w:r>
      <w:r w:rsidR="00F35C40">
        <w:rPr>
          <w:rFonts w:ascii="Times New Roman" w:hAnsi="Times New Roman" w:cs="Times New Roman"/>
          <w:sz w:val="24"/>
          <w:szCs w:val="24"/>
        </w:rPr>
        <w:t>un allargamento della base imponibil</w:t>
      </w:r>
      <w:r>
        <w:rPr>
          <w:rFonts w:ascii="Times New Roman" w:hAnsi="Times New Roman" w:cs="Times New Roman"/>
          <w:sz w:val="24"/>
          <w:szCs w:val="24"/>
        </w:rPr>
        <w:t xml:space="preserve">e. Molte Amministrazioni si stanno attrezzando per svolgere un’attività </w:t>
      </w:r>
      <w:r w:rsidR="00F35C40">
        <w:rPr>
          <w:rFonts w:ascii="Times New Roman" w:hAnsi="Times New Roman" w:cs="Times New Roman"/>
          <w:sz w:val="24"/>
          <w:szCs w:val="24"/>
        </w:rPr>
        <w:t xml:space="preserve">di rilevazione sul territorio che porterà inevitabilmente </w:t>
      </w:r>
      <w:r>
        <w:rPr>
          <w:rFonts w:ascii="Times New Roman" w:hAnsi="Times New Roman" w:cs="Times New Roman"/>
          <w:sz w:val="24"/>
          <w:szCs w:val="24"/>
        </w:rPr>
        <w:t>per</w:t>
      </w:r>
      <w:r w:rsidR="00F35C40">
        <w:rPr>
          <w:rFonts w:ascii="Times New Roman" w:hAnsi="Times New Roman" w:cs="Times New Roman"/>
          <w:sz w:val="24"/>
          <w:szCs w:val="24"/>
        </w:rPr>
        <w:t xml:space="preserve"> diverse esposizioni pubblicitarie e occupazioni di suolo pubblico, fino a quel momento non dichiarate, </w:t>
      </w:r>
      <w:r w:rsidR="00A45AF1">
        <w:rPr>
          <w:rFonts w:ascii="Times New Roman" w:hAnsi="Times New Roman" w:cs="Times New Roman"/>
          <w:sz w:val="24"/>
          <w:szCs w:val="24"/>
        </w:rPr>
        <w:t>ovvero</w:t>
      </w:r>
      <w:r w:rsidR="00F35C40">
        <w:rPr>
          <w:rFonts w:ascii="Times New Roman" w:hAnsi="Times New Roman" w:cs="Times New Roman"/>
          <w:sz w:val="24"/>
          <w:szCs w:val="24"/>
        </w:rPr>
        <w:t xml:space="preserve"> non autorizzate o prive di concessione, a confluire all’interno della banca dati del Canone Unico Patrimoniale e garantire </w:t>
      </w:r>
      <w:r>
        <w:rPr>
          <w:rFonts w:ascii="Times New Roman" w:hAnsi="Times New Roman" w:cs="Times New Roman"/>
          <w:sz w:val="24"/>
          <w:szCs w:val="24"/>
        </w:rPr>
        <w:t xml:space="preserve">così </w:t>
      </w:r>
      <w:r w:rsidR="00F35C40">
        <w:rPr>
          <w:rFonts w:ascii="Times New Roman" w:hAnsi="Times New Roman" w:cs="Times New Roman"/>
          <w:sz w:val="24"/>
          <w:szCs w:val="24"/>
        </w:rPr>
        <w:t>una maggior entrata di Bilancio.</w:t>
      </w:r>
    </w:p>
    <w:p w14:paraId="10A9D3AB" w14:textId="2F82F6E9" w:rsidR="0043525E" w:rsidRDefault="0043525E" w:rsidP="00F35C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dinamicità dell’entrata porta</w:t>
      </w:r>
      <w:r w:rsidR="0084311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senza dubbio di smentita</w:t>
      </w:r>
      <w:r w:rsidR="0084311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ad una continua variazione del gettito, una base imponibile che si modifica </w:t>
      </w:r>
      <w:r w:rsidR="0084311D">
        <w:rPr>
          <w:rFonts w:ascii="Times New Roman" w:hAnsi="Times New Roman" w:cs="Times New Roman"/>
          <w:sz w:val="24"/>
          <w:szCs w:val="24"/>
        </w:rPr>
        <w:t>velocemente</w:t>
      </w:r>
      <w:r>
        <w:rPr>
          <w:rFonts w:ascii="Times New Roman" w:hAnsi="Times New Roman" w:cs="Times New Roman"/>
          <w:sz w:val="24"/>
          <w:szCs w:val="24"/>
        </w:rPr>
        <w:t xml:space="preserve"> e che spesso segue l’andamento economico del </w:t>
      </w:r>
      <w:r w:rsidR="009876D4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aese. </w:t>
      </w:r>
      <w:r w:rsidR="0084311D">
        <w:rPr>
          <w:rFonts w:ascii="Times New Roman" w:hAnsi="Times New Roman" w:cs="Times New Roman"/>
          <w:sz w:val="24"/>
          <w:szCs w:val="24"/>
        </w:rPr>
        <w:t>Basti pensare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311D">
        <w:rPr>
          <w:rFonts w:ascii="Times New Roman" w:hAnsi="Times New Roman" w:cs="Times New Roman"/>
          <w:sz w:val="24"/>
          <w:szCs w:val="24"/>
        </w:rPr>
        <w:t xml:space="preserve">ad esempio </w:t>
      </w:r>
      <w:r>
        <w:rPr>
          <w:rFonts w:ascii="Times New Roman" w:hAnsi="Times New Roman" w:cs="Times New Roman"/>
          <w:sz w:val="24"/>
          <w:szCs w:val="24"/>
        </w:rPr>
        <w:t xml:space="preserve">all’incremento di gettito derivante dall’attività edile. Occupazioni di suolo pubblico necessarie </w:t>
      </w:r>
      <w:r w:rsidR="0084311D">
        <w:rPr>
          <w:rFonts w:ascii="Times New Roman" w:hAnsi="Times New Roman" w:cs="Times New Roman"/>
          <w:sz w:val="24"/>
          <w:szCs w:val="24"/>
        </w:rPr>
        <w:t xml:space="preserve">per i cantieri del 110, che hanno fatto schizzare gli incassi per le occupazioni di suolo pubblico temporanee. </w:t>
      </w:r>
    </w:p>
    <w:p w14:paraId="5203D9D7" w14:textId="2C7AA7AB" w:rsidR="00FB73D6" w:rsidRPr="0084311D" w:rsidRDefault="0084311D" w:rsidP="008431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 senso avrebbe </w:t>
      </w:r>
      <w:r w:rsidR="00A45AF1">
        <w:rPr>
          <w:rFonts w:ascii="Times New Roman" w:hAnsi="Times New Roman" w:cs="Times New Roman"/>
          <w:sz w:val="24"/>
          <w:szCs w:val="24"/>
        </w:rPr>
        <w:t xml:space="preserve">allora </w:t>
      </w:r>
      <w:r>
        <w:rPr>
          <w:rFonts w:ascii="Times New Roman" w:hAnsi="Times New Roman" w:cs="Times New Roman"/>
          <w:sz w:val="24"/>
          <w:szCs w:val="24"/>
        </w:rPr>
        <w:t xml:space="preserve">nel 2023 rincorrere ancora la parità di gettito? La portata della disposizione contenuta nel comma 817 oggi deve essere legata al criterio di trasformazione dai precedenti prelievi e letta nell’ottica di mantenere </w:t>
      </w:r>
      <w:r w:rsidR="009876D4">
        <w:rPr>
          <w:rFonts w:ascii="Times New Roman" w:hAnsi="Times New Roman" w:cs="Times New Roman"/>
          <w:sz w:val="24"/>
          <w:szCs w:val="24"/>
        </w:rPr>
        <w:t>quel</w:t>
      </w:r>
      <w:r>
        <w:rPr>
          <w:rFonts w:ascii="Times New Roman" w:hAnsi="Times New Roman" w:cs="Times New Roman"/>
          <w:sz w:val="24"/>
          <w:szCs w:val="24"/>
        </w:rPr>
        <w:t xml:space="preserve"> solco </w:t>
      </w:r>
      <w:r w:rsidR="009876D4">
        <w:rPr>
          <w:rFonts w:ascii="Times New Roman" w:hAnsi="Times New Roman" w:cs="Times New Roman"/>
          <w:sz w:val="24"/>
          <w:szCs w:val="24"/>
        </w:rPr>
        <w:t>tracciato nel 2021,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76D4">
        <w:rPr>
          <w:rFonts w:ascii="Times New Roman" w:hAnsi="Times New Roman" w:cs="Times New Roman"/>
          <w:sz w:val="24"/>
          <w:szCs w:val="24"/>
        </w:rPr>
        <w:t xml:space="preserve">aggiornato </w:t>
      </w:r>
      <w:r>
        <w:rPr>
          <w:rFonts w:ascii="Times New Roman" w:hAnsi="Times New Roman" w:cs="Times New Roman"/>
          <w:sz w:val="24"/>
          <w:szCs w:val="24"/>
        </w:rPr>
        <w:t>con tutte le deviazioni possibili dettate da</w:t>
      </w:r>
      <w:r w:rsidR="009876D4">
        <w:rPr>
          <w:rFonts w:ascii="Times New Roman" w:hAnsi="Times New Roman" w:cs="Times New Roman"/>
          <w:sz w:val="24"/>
          <w:szCs w:val="24"/>
        </w:rPr>
        <w:t xml:space="preserve">gli eventi e dalla </w:t>
      </w:r>
      <w:r>
        <w:rPr>
          <w:rFonts w:ascii="Times New Roman" w:hAnsi="Times New Roman" w:cs="Times New Roman"/>
          <w:sz w:val="24"/>
          <w:szCs w:val="24"/>
        </w:rPr>
        <w:t>disciplina regolamentare.</w:t>
      </w:r>
    </w:p>
    <w:sectPr w:rsidR="00FB73D6" w:rsidRPr="008431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40"/>
    <w:rsid w:val="0036394D"/>
    <w:rsid w:val="00380E1A"/>
    <w:rsid w:val="003E0E76"/>
    <w:rsid w:val="003F6837"/>
    <w:rsid w:val="0043525E"/>
    <w:rsid w:val="005E1567"/>
    <w:rsid w:val="00630F5B"/>
    <w:rsid w:val="0069099F"/>
    <w:rsid w:val="006F4493"/>
    <w:rsid w:val="0084311D"/>
    <w:rsid w:val="009876D4"/>
    <w:rsid w:val="00A45AF1"/>
    <w:rsid w:val="00AB1D24"/>
    <w:rsid w:val="00CD557C"/>
    <w:rsid w:val="00F35C40"/>
    <w:rsid w:val="00FB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2005"/>
  <w15:chartTrackingRefBased/>
  <w15:docId w15:val="{6F6420D1-E9AB-442D-8BF8-E07463B5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35C40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7</cp:revision>
  <dcterms:created xsi:type="dcterms:W3CDTF">2023-03-03T14:55:00Z</dcterms:created>
  <dcterms:modified xsi:type="dcterms:W3CDTF">2023-03-03T16:21:00Z</dcterms:modified>
</cp:coreProperties>
</file>