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61132" w14:textId="64C5B2CE" w:rsidR="00251BDB" w:rsidRDefault="00251BDB" w:rsidP="00BA1A3E">
      <w:r>
        <w:t>Titolo: la “</w:t>
      </w:r>
      <w:proofErr w:type="spellStart"/>
      <w:r>
        <w:t>dicatio</w:t>
      </w:r>
      <w:proofErr w:type="spellEnd"/>
      <w:r>
        <w:t xml:space="preserve"> ad </w:t>
      </w:r>
      <w:proofErr w:type="spellStart"/>
      <w:r>
        <w:t>patriam</w:t>
      </w:r>
      <w:proofErr w:type="spellEnd"/>
      <w:r>
        <w:t>” e il presupposto CUP</w:t>
      </w:r>
    </w:p>
    <w:p w14:paraId="149AC4FD" w14:textId="77777777" w:rsidR="00807F85" w:rsidRDefault="00251BDB" w:rsidP="00D703BD">
      <w:pPr>
        <w:spacing w:before="240" w:after="240"/>
        <w:jc w:val="both"/>
      </w:pPr>
      <w:r>
        <w:t xml:space="preserve">Nella disciplina del Canone Unico, una delle questioni che ha fatto più </w:t>
      </w:r>
      <w:r w:rsidR="00807F85">
        <w:t>discutere è</w:t>
      </w:r>
      <w:r>
        <w:t xml:space="preserve"> stato il mancato richiamo nel presupposto applicativo delle occupazioni realizzate sulle aree</w:t>
      </w:r>
      <w:r w:rsidR="00807F85">
        <w:t xml:space="preserve"> private</w:t>
      </w:r>
      <w:r>
        <w:t xml:space="preserve"> gravate da servitù di pubblico passaggio</w:t>
      </w:r>
      <w:r w:rsidR="005A5C56">
        <w:t xml:space="preserve">. Questa </w:t>
      </w:r>
      <w:r w:rsidR="00807F85">
        <w:t xml:space="preserve">scelta, o </w:t>
      </w:r>
      <w:r w:rsidR="005A5C56">
        <w:t>dimenticanza</w:t>
      </w:r>
      <w:r w:rsidR="00807F85">
        <w:t xml:space="preserve"> del Legislatore,</w:t>
      </w:r>
      <w:r w:rsidR="005A5C56">
        <w:t xml:space="preserve"> comunque non ha impedito agli enti territoriali di inserirle nella </w:t>
      </w:r>
      <w:r w:rsidR="002520A1">
        <w:t xml:space="preserve">propria </w:t>
      </w:r>
      <w:r w:rsidR="005A5C56">
        <w:t>disciplina regolamentare e proseguire nel naturale assoggettamento delle stesse in continuità con i prelievi precedenti</w:t>
      </w:r>
      <w:r w:rsidR="002520A1">
        <w:t>.</w:t>
      </w:r>
      <w:r w:rsidR="005A5C56">
        <w:t xml:space="preserve"> </w:t>
      </w:r>
    </w:p>
    <w:p w14:paraId="33EEEA09" w14:textId="2258BD30" w:rsidR="00D703BD" w:rsidRDefault="002520A1" w:rsidP="00D703BD">
      <w:pPr>
        <w:spacing w:before="240" w:after="240"/>
        <w:jc w:val="both"/>
      </w:pPr>
      <w:r>
        <w:t>F</w:t>
      </w:r>
      <w:r w:rsidR="005A5C56">
        <w:t>orti del disposto di cui all’articolo 825 del Codice Civile</w:t>
      </w:r>
      <w:r w:rsidR="00807F85">
        <w:t xml:space="preserve">, </w:t>
      </w:r>
      <w:r w:rsidR="005A5C56">
        <w:t xml:space="preserve">le aree private gravate da servitù </w:t>
      </w:r>
      <w:r w:rsidR="00807F85">
        <w:t xml:space="preserve">pubblica, sono </w:t>
      </w:r>
      <w:r w:rsidR="005A5C56">
        <w:t>soggette alla stessa disciplina delle aree demaniali</w:t>
      </w:r>
      <w:r>
        <w:t xml:space="preserve">, </w:t>
      </w:r>
      <w:r w:rsidR="00807F85">
        <w:t xml:space="preserve">così che </w:t>
      </w:r>
      <w:r>
        <w:t xml:space="preserve">i Comuni non hanno modificato il loro orientamento </w:t>
      </w:r>
      <w:r w:rsidR="00807F85">
        <w:t xml:space="preserve">e trattamento </w:t>
      </w:r>
      <w:r>
        <w:t>nei confronti di queste aree</w:t>
      </w:r>
      <w:r w:rsidR="005A5C56">
        <w:t>.</w:t>
      </w:r>
      <w:r w:rsidR="00D703BD">
        <w:t xml:space="preserve"> In base alla disciplina civilistica</w:t>
      </w:r>
      <w:r>
        <w:t xml:space="preserve"> infatti</w:t>
      </w:r>
      <w:r w:rsidR="00D703BD">
        <w:t>, l’area privata soggetta ad uso pubblico subisc</w:t>
      </w:r>
      <w:r>
        <w:t>e</w:t>
      </w:r>
      <w:r w:rsidR="00D703BD">
        <w:t xml:space="preserve"> una naturale attrazione nell'ambito applicativo, dovendo seguire</w:t>
      </w:r>
      <w:r w:rsidR="00807F85">
        <w:t>, come detto,</w:t>
      </w:r>
      <w:r w:rsidR="00D703BD">
        <w:t xml:space="preserve"> il regime già previsto per le aree demaniali e per quelle appartenenti al patrimonio indisponibile degli enti locali.</w:t>
      </w:r>
    </w:p>
    <w:p w14:paraId="5D6AC56F" w14:textId="51604F8C" w:rsidR="00251BDB" w:rsidRDefault="002520A1" w:rsidP="002520A1">
      <w:pPr>
        <w:jc w:val="both"/>
      </w:pPr>
      <w:r>
        <w:t xml:space="preserve">In generale la </w:t>
      </w:r>
      <w:r w:rsidR="00251BDB">
        <w:t xml:space="preserve">servitù si può realizzare per atto pubblico o privato, per usucapione ventennale ex articolo 1158 del Codice Civile, oppure per la cosiddetta </w:t>
      </w:r>
      <w:proofErr w:type="spellStart"/>
      <w:r w:rsidR="00251BDB" w:rsidRPr="00D5784B">
        <w:rPr>
          <w:i/>
          <w:iCs/>
        </w:rPr>
        <w:t>dicatio</w:t>
      </w:r>
      <w:proofErr w:type="spellEnd"/>
      <w:r w:rsidR="00251BDB" w:rsidRPr="00D5784B">
        <w:rPr>
          <w:i/>
          <w:iCs/>
        </w:rPr>
        <w:t xml:space="preserve"> ad </w:t>
      </w:r>
      <w:proofErr w:type="spellStart"/>
      <w:r w:rsidR="00251BDB" w:rsidRPr="00D5784B">
        <w:rPr>
          <w:i/>
          <w:iCs/>
        </w:rPr>
        <w:t>patriam</w:t>
      </w:r>
      <w:proofErr w:type="spellEnd"/>
      <w:r w:rsidR="00807F85">
        <w:rPr>
          <w:i/>
          <w:iCs/>
        </w:rPr>
        <w:t xml:space="preserve">, </w:t>
      </w:r>
      <w:r w:rsidR="00251BDB">
        <w:t xml:space="preserve"> cioè per la destinazione all’uso pubblico effettuata dallo stesso proprietario che pone l’area a disposizione della collettività.</w:t>
      </w:r>
    </w:p>
    <w:p w14:paraId="61D34CB8" w14:textId="152F0799" w:rsidR="002520A1" w:rsidRDefault="00D703BD" w:rsidP="00714317">
      <w:pPr>
        <w:jc w:val="both"/>
      </w:pPr>
      <w:r>
        <w:t>Proprio quest’ultima modalità è quella nella quale</w:t>
      </w:r>
      <w:r w:rsidR="00807F85">
        <w:t>,</w:t>
      </w:r>
      <w:r>
        <w:t xml:space="preserve"> sempre di più</w:t>
      </w:r>
      <w:r w:rsidR="00807F85">
        <w:t>,</w:t>
      </w:r>
      <w:r>
        <w:t xml:space="preserve"> si rifugiano gli uffici</w:t>
      </w:r>
      <w:r w:rsidR="00807F85">
        <w:t xml:space="preserve"> tributi</w:t>
      </w:r>
      <w:r>
        <w:t xml:space="preserve"> per motivare l’applicazione del prelievo. </w:t>
      </w:r>
      <w:r w:rsidR="00714317">
        <w:t>Difficile, infatti,</w:t>
      </w:r>
      <w:r>
        <w:t xml:space="preserve"> reperire i documenti che attestino il vincolo di servitù, così come rari sono i casi di usucapione ventennale.</w:t>
      </w:r>
      <w:r w:rsidR="008613B2">
        <w:t xml:space="preserve"> </w:t>
      </w:r>
      <w:r w:rsidR="002520A1">
        <w:t>Relativamente più semplice</w:t>
      </w:r>
      <w:r w:rsidR="00807F85">
        <w:t xml:space="preserve"> invece</w:t>
      </w:r>
      <w:r w:rsidR="002520A1">
        <w:t xml:space="preserve"> ricorrere alla </w:t>
      </w:r>
      <w:proofErr w:type="spellStart"/>
      <w:r w:rsidR="00807F85">
        <w:rPr>
          <w:i/>
          <w:iCs/>
        </w:rPr>
        <w:t>d</w:t>
      </w:r>
      <w:r w:rsidR="002520A1" w:rsidRPr="00D5784B">
        <w:rPr>
          <w:i/>
          <w:iCs/>
        </w:rPr>
        <w:t>icatio</w:t>
      </w:r>
      <w:proofErr w:type="spellEnd"/>
      <w:r w:rsidR="002520A1" w:rsidRPr="00D5784B">
        <w:rPr>
          <w:i/>
          <w:iCs/>
        </w:rPr>
        <w:t xml:space="preserve"> ad </w:t>
      </w:r>
      <w:proofErr w:type="spellStart"/>
      <w:r w:rsidR="002520A1" w:rsidRPr="00D5784B">
        <w:rPr>
          <w:i/>
          <w:iCs/>
        </w:rPr>
        <w:t>patriam</w:t>
      </w:r>
      <w:proofErr w:type="spellEnd"/>
      <w:r w:rsidR="002520A1">
        <w:t xml:space="preserve"> per motivare l’applicazione del prelievo. Certo, di base</w:t>
      </w:r>
      <w:r w:rsidR="00807F85">
        <w:t>,</w:t>
      </w:r>
      <w:r w:rsidR="002520A1">
        <w:t xml:space="preserve"> la motivazione risulta in questo modo immediata, tuttavia le insidie si presentano in sede contenziosa, quando occorre sostenere una posizione, spesso basata solo su “sensazioni” e da un</w:t>
      </w:r>
      <w:r w:rsidR="00807F85">
        <w:t>a verifica dello</w:t>
      </w:r>
      <w:r w:rsidR="002520A1">
        <w:t xml:space="preserve"> stato dei luoghi che porta a percepire la costituzione di questo principio</w:t>
      </w:r>
      <w:r w:rsidR="00807F85">
        <w:t xml:space="preserve"> per l’evidente uso da parte della collettività</w:t>
      </w:r>
      <w:r w:rsidR="002520A1">
        <w:t>.</w:t>
      </w:r>
    </w:p>
    <w:p w14:paraId="510CD0AA" w14:textId="6CE7824C" w:rsidR="00D703BD" w:rsidRDefault="008613B2" w:rsidP="00714317">
      <w:pPr>
        <w:jc w:val="both"/>
      </w:pPr>
      <w:r>
        <w:t xml:space="preserve">Vediamo quindi alcune pronunce che possono </w:t>
      </w:r>
      <w:r w:rsidR="002520A1">
        <w:t>supportare</w:t>
      </w:r>
      <w:r>
        <w:t xml:space="preserve"> le Pubbliche Amministrazioni nelle </w:t>
      </w:r>
      <w:r w:rsidR="002520A1">
        <w:t xml:space="preserve">complicate </w:t>
      </w:r>
      <w:r>
        <w:t>vertenze che puntualmente si aprono con i soggetti privati chiamati</w:t>
      </w:r>
      <w:r w:rsidR="00807F85">
        <w:t xml:space="preserve">, loro </w:t>
      </w:r>
      <w:r w:rsidR="0001403A">
        <w:t>malgrado, a</w:t>
      </w:r>
      <w:r>
        <w:t xml:space="preserve"> versare il canone in relazione ad occupazioni realizzate su</w:t>
      </w:r>
      <w:r w:rsidR="002520A1">
        <w:t>lle</w:t>
      </w:r>
      <w:r>
        <w:t xml:space="preserve"> aree private.</w:t>
      </w:r>
      <w:r w:rsidR="002520A1">
        <w:t xml:space="preserve"> In questo approfondimento </w:t>
      </w:r>
      <w:r w:rsidR="0001403A">
        <w:t xml:space="preserve">analizziamo due sentenze di Corte di Cassazione, una del Consiglio di Stato, una del TAR e una di Corte di Giustizia Tributaria regionale. Posizioni </w:t>
      </w:r>
      <w:r w:rsidR="002520A1">
        <w:t xml:space="preserve">che </w:t>
      </w:r>
      <w:r w:rsidR="0001403A">
        <w:t>definiscono un orientamento e danno la giusta misura nella valutazione delle infinite situazioni che caratterizzano le nostre città</w:t>
      </w:r>
      <w:r w:rsidR="002520A1">
        <w:t>.</w:t>
      </w:r>
    </w:p>
    <w:p w14:paraId="2951AFEA" w14:textId="69EFC0D9" w:rsidR="00BA1A3E" w:rsidRDefault="00C5523D" w:rsidP="00714317">
      <w:pPr>
        <w:jc w:val="both"/>
        <w:rPr>
          <w:i/>
          <w:iCs/>
        </w:rPr>
      </w:pPr>
      <w:r>
        <w:t>L</w:t>
      </w:r>
      <w:r w:rsidR="00714317">
        <w:t xml:space="preserve">a Corte di Cassazione si è occupata più volte di contenziosi derivanti da occupazioni realizzate su aree private, una recente sentenza della quinta sezione, la numero </w:t>
      </w:r>
      <w:r w:rsidR="00BA1A3E">
        <w:t xml:space="preserve">26226 </w:t>
      </w:r>
      <w:r w:rsidR="00714317">
        <w:t>del</w:t>
      </w:r>
      <w:r w:rsidR="00BA1A3E">
        <w:t xml:space="preserve"> 2021</w:t>
      </w:r>
      <w:r w:rsidR="00714317">
        <w:t xml:space="preserve"> ha richiamato i principi già espressi</w:t>
      </w:r>
      <w:r w:rsidR="0001403A">
        <w:t xml:space="preserve"> in passato</w:t>
      </w:r>
      <w:r w:rsidR="00714317">
        <w:t xml:space="preserve"> dalla sezione prima della stessa corte di Cassazione nella sentenza n. 4851 del 2016</w:t>
      </w:r>
      <w:r w:rsidR="00BA1A3E">
        <w:t xml:space="preserve">, </w:t>
      </w:r>
      <w:r w:rsidR="002A1046">
        <w:t>secondo</w:t>
      </w:r>
      <w:r w:rsidR="00714317">
        <w:t xml:space="preserve"> la quale</w:t>
      </w:r>
      <w:r>
        <w:t>:</w:t>
      </w:r>
      <w:r w:rsidR="00714317">
        <w:t xml:space="preserve"> </w:t>
      </w:r>
      <w:r w:rsidRPr="00C5523D">
        <w:rPr>
          <w:i/>
          <w:iCs/>
        </w:rPr>
        <w:t>“</w:t>
      </w:r>
      <w:r w:rsidR="00BA1A3E" w:rsidRPr="00C5523D">
        <w:rPr>
          <w:i/>
          <w:iCs/>
        </w:rPr>
        <w:t xml:space="preserve">la cosiddetta </w:t>
      </w:r>
      <w:proofErr w:type="spellStart"/>
      <w:r w:rsidR="00BA1A3E" w:rsidRPr="00C5523D">
        <w:rPr>
          <w:i/>
          <w:iCs/>
        </w:rPr>
        <w:t>dicatio</w:t>
      </w:r>
      <w:proofErr w:type="spellEnd"/>
      <w:r w:rsidR="00BA1A3E" w:rsidRPr="00C5523D">
        <w:rPr>
          <w:i/>
          <w:iCs/>
        </w:rPr>
        <w:t xml:space="preserve"> ad </w:t>
      </w:r>
      <w:proofErr w:type="spellStart"/>
      <w:r w:rsidR="00BA1A3E" w:rsidRPr="00C5523D">
        <w:rPr>
          <w:i/>
          <w:iCs/>
        </w:rPr>
        <w:t>patriam</w:t>
      </w:r>
      <w:proofErr w:type="spellEnd"/>
      <w:r w:rsidR="00BA1A3E" w:rsidRPr="00C5523D">
        <w:rPr>
          <w:i/>
          <w:iCs/>
        </w:rPr>
        <w:t xml:space="preserve">, quale modo di costituzione di una servitù di uso pubblico, consiste nel comportamento del proprietario che, seppure non intenzionalmente diretto a dar vita al diritto di uso pubblico, metta volontariamente, con carattere di continuità (non di precarietà e tolleranza), un proprio bene a disposizione della collettività, assoggettandolo al correlativo uso, al fine di soddisfare un’esigenza comune ai membri di tale collettività uti </w:t>
      </w:r>
      <w:proofErr w:type="spellStart"/>
      <w:r w:rsidR="00BA1A3E" w:rsidRPr="00C5523D">
        <w:rPr>
          <w:i/>
          <w:iCs/>
        </w:rPr>
        <w:t>cives</w:t>
      </w:r>
      <w:proofErr w:type="spellEnd"/>
      <w:r w:rsidR="00BA1A3E" w:rsidRPr="00C5523D">
        <w:rPr>
          <w:i/>
          <w:iCs/>
        </w:rPr>
        <w:t xml:space="preserve">, indipendentemente dai motivi per i quali detto comportamento </w:t>
      </w:r>
      <w:r w:rsidR="00F24071" w:rsidRPr="00C5523D">
        <w:rPr>
          <w:i/>
          <w:iCs/>
        </w:rPr>
        <w:t>v</w:t>
      </w:r>
      <w:r w:rsidR="00BA1A3E" w:rsidRPr="00C5523D">
        <w:rPr>
          <w:i/>
          <w:iCs/>
        </w:rPr>
        <w:t>enga tenuto, dalla sua spontaneità’ e dallo spirito che lo anima.</w:t>
      </w:r>
      <w:r w:rsidRPr="00C5523D">
        <w:rPr>
          <w:i/>
          <w:iCs/>
        </w:rPr>
        <w:t>”</w:t>
      </w:r>
    </w:p>
    <w:p w14:paraId="3BD08C1C" w14:textId="2751AE78" w:rsidR="00C5523D" w:rsidRPr="00C5523D" w:rsidRDefault="00C5523D" w:rsidP="00714317">
      <w:pPr>
        <w:jc w:val="both"/>
      </w:pPr>
      <w:r>
        <w:t>Considerazioni che ritroviamo</w:t>
      </w:r>
      <w:r w:rsidR="0001403A">
        <w:t xml:space="preserve"> replicate</w:t>
      </w:r>
      <w:r>
        <w:t xml:space="preserve"> in numerosissime sentenze di Corti di Giustizia, come quella emessa dalla CTR Lombardia su una vertenza legata ad un parcheggio condominiale. Il collegio </w:t>
      </w:r>
      <w:r w:rsidR="0001403A">
        <w:t xml:space="preserve">in questo caso </w:t>
      </w:r>
      <w:r>
        <w:t>rit</w:t>
      </w:r>
      <w:r w:rsidR="003A45C7">
        <w:t>enne</w:t>
      </w:r>
      <w:r>
        <w:t xml:space="preserve"> </w:t>
      </w:r>
      <w:r w:rsidR="003A45C7" w:rsidRPr="003A45C7">
        <w:t>che</w:t>
      </w:r>
      <w:r w:rsidR="003A45C7">
        <w:t>,</w:t>
      </w:r>
      <w:r w:rsidR="003A45C7" w:rsidRPr="003A45C7">
        <w:t xml:space="preserve"> pur non essendo stata mai stipulata una convenzione tra il </w:t>
      </w:r>
      <w:r w:rsidR="003A45C7">
        <w:t>c</w:t>
      </w:r>
      <w:r w:rsidR="003A45C7" w:rsidRPr="003A45C7">
        <w:t xml:space="preserve">ondominio  proprietario delle aree e il Comune, sulle stesse si sia validamente costituita una servitù ad uso pubblico mediante </w:t>
      </w:r>
      <w:proofErr w:type="spellStart"/>
      <w:r w:rsidR="003A45C7" w:rsidRPr="00D5784B">
        <w:rPr>
          <w:i/>
          <w:iCs/>
        </w:rPr>
        <w:t>dicatio</w:t>
      </w:r>
      <w:proofErr w:type="spellEnd"/>
      <w:r w:rsidR="003A45C7" w:rsidRPr="00D5784B">
        <w:rPr>
          <w:i/>
          <w:iCs/>
        </w:rPr>
        <w:t xml:space="preserve"> ad </w:t>
      </w:r>
      <w:proofErr w:type="spellStart"/>
      <w:r w:rsidR="003A45C7" w:rsidRPr="00D5784B">
        <w:rPr>
          <w:i/>
          <w:iCs/>
        </w:rPr>
        <w:t>patriam</w:t>
      </w:r>
      <w:proofErr w:type="spellEnd"/>
      <w:r w:rsidR="003A45C7" w:rsidRPr="00D5784B">
        <w:rPr>
          <w:i/>
          <w:iCs/>
        </w:rPr>
        <w:t>,</w:t>
      </w:r>
      <w:r w:rsidR="003A45C7" w:rsidRPr="003A45C7">
        <w:t xml:space="preserve"> consistente nel comportamento del proprietario che, seppure non intenzionalmente diretto a dare vita al diritto di uso pubblico, metta volontariamente, con carattere di continuità un proprio bene a disposizione </w:t>
      </w:r>
      <w:r w:rsidR="003A45C7" w:rsidRPr="003A45C7">
        <w:lastRenderedPageBreak/>
        <w:t xml:space="preserve">della </w:t>
      </w:r>
      <w:r w:rsidR="003A45C7" w:rsidRPr="003A45C7">
        <w:t>collettività</w:t>
      </w:r>
      <w:r w:rsidR="003A45C7">
        <w:t>. E questo principio lo ritroviamo</w:t>
      </w:r>
      <w:r w:rsidR="0001403A">
        <w:t xml:space="preserve"> come un mantra,</w:t>
      </w:r>
      <w:r w:rsidR="003A45C7">
        <w:t xml:space="preserve"> in decine di sentenze, tutte dello stesso tenore.</w:t>
      </w:r>
    </w:p>
    <w:p w14:paraId="2CEC2BEA" w14:textId="08BACE56" w:rsidR="00777E47" w:rsidRDefault="00777E47" w:rsidP="00777E47">
      <w:pPr>
        <w:jc w:val="both"/>
        <w:rPr>
          <w:i/>
          <w:iCs/>
        </w:rPr>
      </w:pPr>
      <w:r>
        <w:t xml:space="preserve">Sul tema è interessante </w:t>
      </w:r>
      <w:r>
        <w:t xml:space="preserve">analizzare </w:t>
      </w:r>
      <w:r>
        <w:t xml:space="preserve">anche quanto contenuto nella </w:t>
      </w:r>
      <w:r w:rsidR="00F24071">
        <w:t xml:space="preserve">sentenza numero </w:t>
      </w:r>
      <w:r w:rsidR="00BA1A3E">
        <w:t xml:space="preserve">28869 </w:t>
      </w:r>
      <w:r w:rsidR="00F24071">
        <w:t>del</w:t>
      </w:r>
      <w:r w:rsidR="00BA1A3E">
        <w:t xml:space="preserve"> 2021</w:t>
      </w:r>
      <w:r w:rsidR="00F24071">
        <w:t xml:space="preserve">, </w:t>
      </w:r>
      <w:r>
        <w:t xml:space="preserve">nella quale i giudici della </w:t>
      </w:r>
      <w:r w:rsidR="00F24071">
        <w:t xml:space="preserve">Corte </w:t>
      </w:r>
      <w:r>
        <w:t xml:space="preserve">di Cassazione </w:t>
      </w:r>
      <w:r w:rsidR="0001403A">
        <w:t xml:space="preserve">aggiungono tasselli importanti sulla problematica </w:t>
      </w:r>
      <w:r w:rsidR="001432D9">
        <w:t>in parola. Nella sentenza si legge</w:t>
      </w:r>
      <w:r>
        <w:t xml:space="preserve">: </w:t>
      </w:r>
      <w:r w:rsidRPr="00777E47">
        <w:rPr>
          <w:i/>
          <w:iCs/>
        </w:rPr>
        <w:t>“</w:t>
      </w:r>
      <w:r w:rsidRPr="00777E47">
        <w:rPr>
          <w:i/>
          <w:iCs/>
        </w:rPr>
        <w:t>E' risaputo, da un punto di vista generale, che la servitù di uso pubblico consiste in un</w:t>
      </w:r>
      <w:r w:rsidRPr="00777E47">
        <w:rPr>
          <w:i/>
          <w:iCs/>
        </w:rPr>
        <w:t xml:space="preserve"> </w:t>
      </w:r>
      <w:r w:rsidRPr="00777E47">
        <w:rPr>
          <w:i/>
          <w:iCs/>
        </w:rPr>
        <w:t>peso a carico di un bene immobile per consentire un'attività a beneficio di una</w:t>
      </w:r>
      <w:r w:rsidR="0001403A">
        <w:rPr>
          <w:i/>
          <w:iCs/>
        </w:rPr>
        <w:t xml:space="preserve"> </w:t>
      </w:r>
      <w:r w:rsidRPr="00777E47">
        <w:rPr>
          <w:i/>
          <w:iCs/>
        </w:rPr>
        <w:t xml:space="preserve">collettività di persone (uti </w:t>
      </w:r>
      <w:proofErr w:type="spellStart"/>
      <w:r w:rsidRPr="00777E47">
        <w:rPr>
          <w:i/>
          <w:iCs/>
        </w:rPr>
        <w:t>cives</w:t>
      </w:r>
      <w:proofErr w:type="spellEnd"/>
      <w:r w:rsidRPr="00777E47">
        <w:rPr>
          <w:i/>
          <w:iCs/>
        </w:rPr>
        <w:t>)</w:t>
      </w:r>
      <w:r w:rsidRPr="00777E47">
        <w:rPr>
          <w:i/>
          <w:iCs/>
        </w:rPr>
        <w:t>”</w:t>
      </w:r>
      <w:r>
        <w:rPr>
          <w:i/>
          <w:iCs/>
        </w:rPr>
        <w:t xml:space="preserve">. </w:t>
      </w:r>
    </w:p>
    <w:p w14:paraId="04D9B704" w14:textId="444C822A" w:rsidR="00BA1A3E" w:rsidRDefault="00777E47" w:rsidP="00777E47">
      <w:pPr>
        <w:jc w:val="both"/>
      </w:pPr>
      <w:r w:rsidRPr="00777E47">
        <w:t>I giudici inoltre richiamano</w:t>
      </w:r>
      <w:r>
        <w:rPr>
          <w:i/>
          <w:iCs/>
        </w:rPr>
        <w:t xml:space="preserve"> </w:t>
      </w:r>
      <w:r>
        <w:t xml:space="preserve"> </w:t>
      </w:r>
      <w:r w:rsidRPr="00777E47">
        <w:rPr>
          <w:i/>
          <w:iCs/>
        </w:rPr>
        <w:t>“…la</w:t>
      </w:r>
      <w:r w:rsidR="00BA1A3E" w:rsidRPr="00777E47">
        <w:rPr>
          <w:i/>
          <w:iCs/>
        </w:rPr>
        <w:t xml:space="preserve"> presunzione contenuta nella L. 20 marzo 1865, n. 2248, all’art. 22, comma 3, </w:t>
      </w:r>
      <w:proofErr w:type="spellStart"/>
      <w:r w:rsidR="00BA1A3E" w:rsidRPr="00777E47">
        <w:rPr>
          <w:i/>
          <w:iCs/>
        </w:rPr>
        <w:t>all</w:t>
      </w:r>
      <w:proofErr w:type="spellEnd"/>
      <w:r w:rsidR="00BA1A3E" w:rsidRPr="00777E47">
        <w:rPr>
          <w:i/>
          <w:iCs/>
        </w:rPr>
        <w:t>. F, sulle opere pubbliche, secondo la quale fanno parte delle strade comunali le piazze, gli spazi ed i vicoli ad esse adiacenti aperti sul suolo pubblico, ossia le aree che, per l’Immediata accessibilità a dette strade, debbano considerarsi parte integrante – come pertinenze – del complesso viario o del Comune – disposizione non abrogata, neppure tacitamente, dalla norma (L. 12 febbraio 1958, n. 126, art. 7, lett. b)) che, in tema di classificazione e sistemazione delle strade di uso pubblico, include tra le strade comunali quelle ubicate “all’interno degli abitati” – pone una presunzione “iuris tantum” di demanialità, che ammette la prova, contraria (incombente sul destinatario della pretesa dell’ente territoriale di recupero dell’indennità di occupazione), la quale, tuttavia, è circoscritta all’esistenza di consuetudini (che escludano la demanialità per il tipo di aree di cui faccia parte quella considerata), o di convenzioni che attribuiscano la proprietà a soggetto diverso dal Comune, ovvero alla preesistente natura privata della proprietà dell’area in contestazione (circostanze non emerse nel caso di specie ed anzi rimaste escluse per effetto della motivazione addotta dalla Corte di appello a sostegno dell’impugnata sentenza).</w:t>
      </w:r>
      <w:r w:rsidRPr="00777E47">
        <w:rPr>
          <w:i/>
          <w:iCs/>
        </w:rPr>
        <w:t>”</w:t>
      </w:r>
    </w:p>
    <w:p w14:paraId="13B87B64" w14:textId="018A73D7" w:rsidR="00C5523D" w:rsidRDefault="00777E47" w:rsidP="00C5523D">
      <w:pPr>
        <w:jc w:val="both"/>
      </w:pPr>
      <w:r>
        <w:t>Proseguendo con gli orientamenti formatisi in materia, richi</w:t>
      </w:r>
      <w:r w:rsidR="00D13739">
        <w:t xml:space="preserve">amiamo </w:t>
      </w:r>
      <w:r w:rsidR="000F1A8F">
        <w:t xml:space="preserve">un </w:t>
      </w:r>
      <w:r w:rsidR="00C5523D">
        <w:t>interven</w:t>
      </w:r>
      <w:r w:rsidR="00D13739">
        <w:t>t</w:t>
      </w:r>
      <w:r w:rsidR="000F1A8F">
        <w:t>o</w:t>
      </w:r>
      <w:r w:rsidR="00D13739">
        <w:t xml:space="preserve"> del </w:t>
      </w:r>
      <w:r w:rsidR="00C5523D">
        <w:t xml:space="preserve">Consiglio di Stato, </w:t>
      </w:r>
      <w:r w:rsidR="00D13739">
        <w:t xml:space="preserve">che in una </w:t>
      </w:r>
      <w:r w:rsidR="00C5523D">
        <w:t>delle</w:t>
      </w:r>
      <w:r w:rsidR="000F1A8F">
        <w:t xml:space="preserve"> sue</w:t>
      </w:r>
      <w:r w:rsidR="00C5523D">
        <w:t xml:space="preserve"> ultime pronunce</w:t>
      </w:r>
      <w:r w:rsidR="00D13739">
        <w:t>, l</w:t>
      </w:r>
      <w:r w:rsidR="00C5523D">
        <w:t xml:space="preserve">a sentenza 6846 del 12/10/2021 </w:t>
      </w:r>
      <w:r w:rsidR="000F1A8F">
        <w:t>ha precisato</w:t>
      </w:r>
      <w:r w:rsidR="00C5523D">
        <w:t xml:space="preserve"> come la costituzione su una strada privata di una servitù di uso pubblico può avvenire</w:t>
      </w:r>
      <w:r w:rsidR="001432D9">
        <w:t>,</w:t>
      </w:r>
      <w:r w:rsidR="00C5523D">
        <w:t xml:space="preserve"> o a mezzo della c.d. </w:t>
      </w:r>
      <w:proofErr w:type="spellStart"/>
      <w:r w:rsidR="00C5523D" w:rsidRPr="00D5784B">
        <w:rPr>
          <w:i/>
          <w:iCs/>
        </w:rPr>
        <w:t>dicatio</w:t>
      </w:r>
      <w:proofErr w:type="spellEnd"/>
      <w:r w:rsidR="00C5523D" w:rsidRPr="00D5784B">
        <w:rPr>
          <w:i/>
          <w:iCs/>
        </w:rPr>
        <w:t xml:space="preserve"> ad </w:t>
      </w:r>
      <w:proofErr w:type="spellStart"/>
      <w:r w:rsidR="00C5523D" w:rsidRPr="00D5784B">
        <w:rPr>
          <w:i/>
          <w:iCs/>
        </w:rPr>
        <w:t>patriam</w:t>
      </w:r>
      <w:proofErr w:type="spellEnd"/>
      <w:r w:rsidR="00C5523D">
        <w:t>, integrata dal comportamento del proprietario di un bene che metta spontaneamente ed in modo univoco lo stesso a disposizione di una collettività  indeterminata di cittadini, producendo l’effetto istantaneo della costituzione di servitù di uso pubblico, ovvero attraverso l’uso del bene da parte della collettività indifferenziata dei cittadini, protratto per il tempo di maturazione dell’usucapione ventennale.</w:t>
      </w:r>
    </w:p>
    <w:p w14:paraId="5D66FE7A" w14:textId="31C33AB0" w:rsidR="000F1A8F" w:rsidRDefault="000F1A8F" w:rsidP="00F42330">
      <w:pPr>
        <w:jc w:val="both"/>
        <w:rPr>
          <w:i/>
          <w:iCs/>
        </w:rPr>
      </w:pPr>
      <w:r>
        <w:t xml:space="preserve">Ciò che rende questa sentenza oltremodo interessante è quanto scritto nel passaggio in cui si precisa </w:t>
      </w:r>
      <w:r w:rsidR="00F42330">
        <w:t>che il Comune</w:t>
      </w:r>
      <w:r w:rsidR="001432D9">
        <w:t>,</w:t>
      </w:r>
      <w:r w:rsidR="00F42330">
        <w:t xml:space="preserve"> nel ricorso di primo grado</w:t>
      </w:r>
      <w:r w:rsidR="001432D9">
        <w:t>,</w:t>
      </w:r>
      <w:r w:rsidR="00F42330">
        <w:t xml:space="preserve"> fondava l’applicazione del canone sul suolo pubblico in base alla </w:t>
      </w:r>
      <w:r w:rsidR="00F42330">
        <w:t>sussistenza</w:t>
      </w:r>
      <w:r w:rsidR="00F42330">
        <w:t xml:space="preserve"> </w:t>
      </w:r>
      <w:r w:rsidR="00F42330">
        <w:t>della servitù di uso pubblico sulla sola relazione degli uffici tecnici comunali</w:t>
      </w:r>
      <w:r w:rsidR="00F42330">
        <w:t xml:space="preserve"> </w:t>
      </w:r>
      <w:r w:rsidR="00F42330">
        <w:t>ove, all’esito di un</w:t>
      </w:r>
      <w:r w:rsidR="00F42330">
        <w:t xml:space="preserve"> </w:t>
      </w:r>
      <w:r w:rsidR="00F42330">
        <w:t xml:space="preserve">sopralluogo del personale incaricato, era detto che </w:t>
      </w:r>
      <w:r w:rsidR="00F42330" w:rsidRPr="00F42330">
        <w:rPr>
          <w:i/>
          <w:iCs/>
        </w:rPr>
        <w:t>«il manufatto funzionale</w:t>
      </w:r>
      <w:r w:rsidR="00F42330" w:rsidRPr="00F42330">
        <w:rPr>
          <w:i/>
          <w:iCs/>
        </w:rPr>
        <w:t xml:space="preserve"> </w:t>
      </w:r>
      <w:r w:rsidR="00F42330" w:rsidRPr="00F42330">
        <w:rPr>
          <w:i/>
          <w:iCs/>
        </w:rPr>
        <w:t>all’attività di somministrazione di alimenti e bevande sita in via</w:t>
      </w:r>
      <w:r w:rsidR="00F42330">
        <w:rPr>
          <w:i/>
          <w:iCs/>
        </w:rPr>
        <w:t xml:space="preserve">… </w:t>
      </w:r>
      <w:r w:rsidR="00F42330" w:rsidRPr="00F42330">
        <w:rPr>
          <w:i/>
          <w:iCs/>
        </w:rPr>
        <w:t xml:space="preserve"> insiste su</w:t>
      </w:r>
      <w:r w:rsidR="00F42330" w:rsidRPr="00F42330">
        <w:rPr>
          <w:i/>
          <w:iCs/>
        </w:rPr>
        <w:t xml:space="preserve"> </w:t>
      </w:r>
      <w:r w:rsidR="00F42330" w:rsidRPr="00F42330">
        <w:rPr>
          <w:i/>
          <w:iCs/>
        </w:rPr>
        <w:t>un’area privata aperta al pubblico transito».</w:t>
      </w:r>
    </w:p>
    <w:p w14:paraId="695FA6AB" w14:textId="4085B64F" w:rsidR="00F42330" w:rsidRPr="00F42330" w:rsidRDefault="00F42330" w:rsidP="00F42330">
      <w:pPr>
        <w:jc w:val="both"/>
      </w:pPr>
      <w:r w:rsidRPr="00F42330">
        <w:t>Secondo i giudici</w:t>
      </w:r>
      <w:r>
        <w:t xml:space="preserve"> s</w:t>
      </w:r>
      <w:r>
        <w:t>i tratta di un assunto motivazionale inadeguato a sorreggere la decisione, in</w:t>
      </w:r>
      <w:r>
        <w:t xml:space="preserve"> </w:t>
      </w:r>
      <w:r>
        <w:t>quanto la costituzione su una strada privata di una servitù di uso pubblico può</w:t>
      </w:r>
      <w:r>
        <w:t xml:space="preserve"> </w:t>
      </w:r>
      <w:r>
        <w:t>avvenire</w:t>
      </w:r>
      <w:r>
        <w:t xml:space="preserve"> come detto</w:t>
      </w:r>
      <w:r w:rsidR="001432D9">
        <w:t>,</w:t>
      </w:r>
      <w:r>
        <w:t xml:space="preserve"> o a mezzo della c.d. </w:t>
      </w:r>
      <w:proofErr w:type="spellStart"/>
      <w:r w:rsidRPr="00D5784B">
        <w:rPr>
          <w:i/>
          <w:iCs/>
        </w:rPr>
        <w:t>dicatio</w:t>
      </w:r>
      <w:proofErr w:type="spellEnd"/>
      <w:r w:rsidRPr="00D5784B">
        <w:rPr>
          <w:i/>
          <w:iCs/>
        </w:rPr>
        <w:t xml:space="preserve"> ad </w:t>
      </w:r>
      <w:proofErr w:type="spellStart"/>
      <w:r w:rsidRPr="00D5784B">
        <w:rPr>
          <w:i/>
          <w:iCs/>
        </w:rPr>
        <w:t>patriam</w:t>
      </w:r>
      <w:proofErr w:type="spellEnd"/>
      <w:r>
        <w:t>,</w:t>
      </w:r>
      <w:r w:rsidRPr="00F42330">
        <w:t xml:space="preserve"> </w:t>
      </w:r>
      <w:r>
        <w:t xml:space="preserve">oppure per un uso </w:t>
      </w:r>
      <w:r>
        <w:t>protratto per il tempo di maturazione dell’usucapione ventennale</w:t>
      </w:r>
      <w:r>
        <w:t>.</w:t>
      </w:r>
    </w:p>
    <w:p w14:paraId="27626566" w14:textId="6B2A2E67" w:rsidR="00C5523D" w:rsidRDefault="00F42330" w:rsidP="00C5523D">
      <w:pPr>
        <w:jc w:val="both"/>
        <w:rPr>
          <w:i/>
          <w:iCs/>
        </w:rPr>
      </w:pPr>
      <w:r>
        <w:t xml:space="preserve">Nella sentenza si legge: </w:t>
      </w:r>
      <w:r w:rsidRPr="00F42330">
        <w:rPr>
          <w:i/>
          <w:iCs/>
        </w:rPr>
        <w:t>“</w:t>
      </w:r>
      <w:r w:rsidR="00C5523D" w:rsidRPr="00F42330">
        <w:rPr>
          <w:i/>
          <w:iCs/>
        </w:rPr>
        <w:t>A fronte, dunque, del sedime stradale privato, la prova dell’esistenza di una servitù di uso pubblico non può discendere da semplici presunzioni o dal mero uso pubblico di fatto della strada, ma presuppone un atto pubblico o privato</w:t>
      </w:r>
      <w:r w:rsidRPr="00F42330">
        <w:rPr>
          <w:i/>
          <w:iCs/>
        </w:rPr>
        <w:t xml:space="preserve"> (</w:t>
      </w:r>
      <w:r w:rsidR="00C5523D" w:rsidRPr="00F42330">
        <w:rPr>
          <w:i/>
          <w:iCs/>
        </w:rPr>
        <w:t>provvedimento amministrativo, accordo tra amministrazione e privato, testamento) o l’intervento dell’usucapione ventennale a condizione (in questo caso) della idoneità della strada a soddisfare esigenze di carattere pubblico (in termini Cons. Stato, V, 27 febbraio 2019, n. 1369; IV, 10 ottobre 2018, n. 5820).</w:t>
      </w:r>
      <w:r>
        <w:rPr>
          <w:i/>
          <w:iCs/>
        </w:rPr>
        <w:t>”</w:t>
      </w:r>
    </w:p>
    <w:p w14:paraId="463DDF90" w14:textId="38E78334" w:rsidR="00F42330" w:rsidRPr="00F42330" w:rsidRDefault="00F42330" w:rsidP="00C5523D">
      <w:pPr>
        <w:jc w:val="both"/>
      </w:pPr>
      <w:r>
        <w:t xml:space="preserve">Ecco quindi come il Consiglio di Stato ha dato la giusta misura e perimetrazione della </w:t>
      </w:r>
      <w:proofErr w:type="spellStart"/>
      <w:r w:rsidRPr="001432D9">
        <w:rPr>
          <w:i/>
          <w:iCs/>
        </w:rPr>
        <w:t>dicatio</w:t>
      </w:r>
      <w:proofErr w:type="spellEnd"/>
      <w:r w:rsidRPr="001432D9">
        <w:rPr>
          <w:i/>
          <w:iCs/>
        </w:rPr>
        <w:t xml:space="preserve"> ad </w:t>
      </w:r>
      <w:proofErr w:type="spellStart"/>
      <w:r w:rsidRPr="001432D9">
        <w:rPr>
          <w:i/>
          <w:iCs/>
        </w:rPr>
        <w:t>patriam</w:t>
      </w:r>
      <w:proofErr w:type="spellEnd"/>
      <w:r w:rsidR="001432D9">
        <w:rPr>
          <w:i/>
          <w:iCs/>
        </w:rPr>
        <w:t xml:space="preserve">, </w:t>
      </w:r>
      <w:r>
        <w:t>evidenziando come non bastino delle semplici presunzioni</w:t>
      </w:r>
      <w:r w:rsidR="001432D9">
        <w:t>,</w:t>
      </w:r>
      <w:r>
        <w:t xml:space="preserve"> </w:t>
      </w:r>
      <w:proofErr w:type="spellStart"/>
      <w:r>
        <w:t>ne</w:t>
      </w:r>
      <w:proofErr w:type="spellEnd"/>
      <w:r>
        <w:t xml:space="preserve"> un mero uso dell’area. </w:t>
      </w:r>
    </w:p>
    <w:p w14:paraId="2A66B614" w14:textId="2A05EE4F" w:rsidR="00BA1A3E" w:rsidRDefault="00F24071" w:rsidP="00F42330">
      <w:pPr>
        <w:jc w:val="both"/>
      </w:pPr>
      <w:r>
        <w:t>Da ultimo</w:t>
      </w:r>
      <w:r w:rsidR="00F42330">
        <w:t>, in ordine di tempo,</w:t>
      </w:r>
      <w:r>
        <w:t xml:space="preserve"> si è espresso il TAR di Roma con la </w:t>
      </w:r>
      <w:r w:rsidR="00F42330">
        <w:t xml:space="preserve">recentissima </w:t>
      </w:r>
      <w:r>
        <w:t>s</w:t>
      </w:r>
      <w:r w:rsidRPr="00BA1A3E">
        <w:t>entenza 13400 del 23/8/2023</w:t>
      </w:r>
      <w:r>
        <w:t xml:space="preserve">. I giudici </w:t>
      </w:r>
      <w:r w:rsidR="00F42330">
        <w:t xml:space="preserve">in questo caso </w:t>
      </w:r>
      <w:r>
        <w:t xml:space="preserve">hanno </w:t>
      </w:r>
      <w:r w:rsidR="009D77EA">
        <w:t xml:space="preserve">valutato </w:t>
      </w:r>
      <w:r w:rsidR="00F42330">
        <w:t>una situazione</w:t>
      </w:r>
      <w:r w:rsidR="009D77EA">
        <w:t xml:space="preserve"> di servitù pubblica costituita</w:t>
      </w:r>
      <w:r w:rsidR="00F42330">
        <w:t>si</w:t>
      </w:r>
      <w:r w:rsidR="009D77EA">
        <w:t xml:space="preserve"> nel parcheggio di un </w:t>
      </w:r>
      <w:r w:rsidR="009D77EA">
        <w:lastRenderedPageBreak/>
        <w:t>supermercato. Secondo il TAR</w:t>
      </w:r>
      <w:r w:rsidR="00F42330">
        <w:t>,</w:t>
      </w:r>
      <w:r w:rsidR="009D77EA">
        <w:t xml:space="preserve"> </w:t>
      </w:r>
      <w:r w:rsidR="00BA1A3E">
        <w:t>Il proprietario dell’esercizio commerciale, anche quando destina a parcheggio un’area più estesa di quella minima richiesta dalla normativa di settore, consente a chiunque di utilizzare i relativi spazi, che di conseguenza sono assoggettati ad una servitù di diritto pubblico.</w:t>
      </w:r>
    </w:p>
    <w:p w14:paraId="169D4D72" w14:textId="05B0A1F3" w:rsidR="00BA1A3E" w:rsidRDefault="00BA1A3E" w:rsidP="00F42330">
      <w:pPr>
        <w:jc w:val="both"/>
      </w:pPr>
      <w:r>
        <w:t>Contrariamente a quanto ha dedotto la società, è irrilevante la sua volontà (e anche quella del proprietario dell’area in questione) di evitare la continuativa utilizzazione del parcheggio, impedendo l’utilizzo dell’area nelle ore di chiusura dell’esercizio commerciale.</w:t>
      </w:r>
      <w:r w:rsidR="009D77EA">
        <w:t xml:space="preserve"> M</w:t>
      </w:r>
      <w:r>
        <w:t xml:space="preserve">ediante la </w:t>
      </w:r>
      <w:proofErr w:type="spellStart"/>
      <w:r w:rsidRPr="00D5784B">
        <w:rPr>
          <w:i/>
          <w:iCs/>
        </w:rPr>
        <w:t>dicatio</w:t>
      </w:r>
      <w:proofErr w:type="spellEnd"/>
      <w:r w:rsidRPr="00D5784B">
        <w:rPr>
          <w:i/>
          <w:iCs/>
        </w:rPr>
        <w:t xml:space="preserve"> ad </w:t>
      </w:r>
      <w:proofErr w:type="spellStart"/>
      <w:r w:rsidRPr="00D5784B">
        <w:rPr>
          <w:i/>
          <w:iCs/>
        </w:rPr>
        <w:t>patriam</w:t>
      </w:r>
      <w:proofErr w:type="spellEnd"/>
      <w:r>
        <w:t xml:space="preserve"> si consente a chiunque di utilizzare un luogo anche per limitate ore del giorno, del mese o dell’anno e non occorre che vi sia la </w:t>
      </w:r>
      <w:proofErr w:type="spellStart"/>
      <w:r>
        <w:t>continuatività</w:t>
      </w:r>
      <w:proofErr w:type="spellEnd"/>
      <w:r>
        <w:t xml:space="preserve"> dell’utilizzo.</w:t>
      </w:r>
    </w:p>
    <w:p w14:paraId="0E359235" w14:textId="59381E33" w:rsidR="00F42330" w:rsidRDefault="00F42330" w:rsidP="00F42330">
      <w:pPr>
        <w:jc w:val="both"/>
      </w:pPr>
      <w:r>
        <w:t xml:space="preserve">Un concetto nuovo che troverà applicazione in numerosi casi che caratterizzano </w:t>
      </w:r>
      <w:r w:rsidR="001432D9">
        <w:t>i suoli</w:t>
      </w:r>
      <w:r>
        <w:t xml:space="preserve"> pubblici e privati lasciati all’uso indiscriminato anche non in forma continuativa.</w:t>
      </w:r>
    </w:p>
    <w:p w14:paraId="6CBD506C" w14:textId="03B1EC26" w:rsidR="00EC2D55" w:rsidRDefault="00EC2D55" w:rsidP="00EC2D55">
      <w:pPr>
        <w:jc w:val="both"/>
      </w:pPr>
      <w:r>
        <w:t>La ricorrente sosteneva come</w:t>
      </w:r>
      <w:r>
        <w:t xml:space="preserve">, non vi sarebbe mai stato il necessario </w:t>
      </w:r>
      <w:r w:rsidRPr="00EC2D55">
        <w:rPr>
          <w:i/>
          <w:iCs/>
        </w:rPr>
        <w:t xml:space="preserve">animus </w:t>
      </w:r>
      <w:proofErr w:type="spellStart"/>
      <w:r w:rsidRPr="00EC2D55">
        <w:rPr>
          <w:i/>
          <w:iCs/>
        </w:rPr>
        <w:t>dicandi</w:t>
      </w:r>
      <w:proofErr w:type="spellEnd"/>
      <w:r w:rsidRPr="00EC2D55">
        <w:rPr>
          <w:i/>
          <w:iCs/>
        </w:rPr>
        <w:t xml:space="preserve"> ad </w:t>
      </w:r>
      <w:proofErr w:type="spellStart"/>
      <w:r w:rsidRPr="00EC2D55">
        <w:rPr>
          <w:i/>
          <w:iCs/>
        </w:rPr>
        <w:t>patriam</w:t>
      </w:r>
      <w:proofErr w:type="spellEnd"/>
      <w:r>
        <w:t>,</w:t>
      </w:r>
      <w:r>
        <w:t xml:space="preserve"> </w:t>
      </w:r>
      <w:r>
        <w:t>ossia l’intenzione di asservire il bene all’uso pubblico, come si desume dal</w:t>
      </w:r>
      <w:r>
        <w:t xml:space="preserve"> </w:t>
      </w:r>
      <w:r>
        <w:t>fatto che negli orari di chiusura dell’esercizio commerciale non si può</w:t>
      </w:r>
      <w:r>
        <w:t xml:space="preserve"> </w:t>
      </w:r>
      <w:r>
        <w:t>accedere all’area, per di più munita di una sbarra di delimitazione della</w:t>
      </w:r>
      <w:r>
        <w:t xml:space="preserve"> </w:t>
      </w:r>
      <w:r>
        <w:t>proprietà privata.</w:t>
      </w:r>
    </w:p>
    <w:p w14:paraId="00A464FD" w14:textId="7580D171" w:rsidR="00EC2D55" w:rsidRDefault="00EC2D55" w:rsidP="00EC2D55">
      <w:pPr>
        <w:jc w:val="both"/>
      </w:pPr>
      <w:r>
        <w:t xml:space="preserve">Il Collegio tuttavia riteneva comunque costituita la </w:t>
      </w:r>
      <w:proofErr w:type="spellStart"/>
      <w:r w:rsidRPr="00EC2D55">
        <w:rPr>
          <w:i/>
          <w:iCs/>
        </w:rPr>
        <w:t>dicatio</w:t>
      </w:r>
      <w:proofErr w:type="spellEnd"/>
      <w:r w:rsidRPr="00EC2D55">
        <w:rPr>
          <w:i/>
          <w:iCs/>
        </w:rPr>
        <w:t xml:space="preserve"> ad </w:t>
      </w:r>
      <w:proofErr w:type="spellStart"/>
      <w:r w:rsidRPr="00EC2D55">
        <w:rPr>
          <w:i/>
          <w:iCs/>
        </w:rPr>
        <w:t>patriam</w:t>
      </w:r>
      <w:proofErr w:type="spellEnd"/>
      <w:r>
        <w:rPr>
          <w:i/>
          <w:iCs/>
        </w:rPr>
        <w:t xml:space="preserve">, </w:t>
      </w:r>
      <w:r w:rsidRPr="00EC2D55">
        <w:t xml:space="preserve">che può derivare da un atto volontario del proprietario, oppure da una </w:t>
      </w:r>
      <w:r>
        <w:t>“</w:t>
      </w:r>
      <w:r w:rsidRPr="00EC2D55">
        <w:t>scelta imposta</w:t>
      </w:r>
      <w:r>
        <w:t>”.</w:t>
      </w:r>
    </w:p>
    <w:p w14:paraId="32239876" w14:textId="103F95E4" w:rsidR="00EC2D55" w:rsidRPr="00EC2D55" w:rsidRDefault="00EC2D55" w:rsidP="00EC2D55">
      <w:pPr>
        <w:jc w:val="both"/>
      </w:pPr>
      <w:r>
        <w:t>Nella sentenza</w:t>
      </w:r>
      <w:r w:rsidR="001432D9">
        <w:t xml:space="preserve"> infatti</w:t>
      </w:r>
      <w:r>
        <w:t xml:space="preserve"> si legge: “</w:t>
      </w:r>
      <w:r w:rsidRPr="00EC2D55">
        <w:rPr>
          <w:i/>
          <w:iCs/>
        </w:rPr>
        <w:t xml:space="preserve">La scelta </w:t>
      </w:r>
      <w:r w:rsidR="00D5784B" w:rsidRPr="00EC2D55">
        <w:rPr>
          <w:i/>
          <w:iCs/>
        </w:rPr>
        <w:t>liber</w:t>
      </w:r>
      <w:r w:rsidR="00D5784B">
        <w:rPr>
          <w:i/>
          <w:iCs/>
        </w:rPr>
        <w:t>a”</w:t>
      </w:r>
      <w:r w:rsidRPr="00EC2D55">
        <w:rPr>
          <w:i/>
          <w:iCs/>
        </w:rPr>
        <w:t xml:space="preserve"> si ha quando il proprietario, per munificenza o per altre</w:t>
      </w:r>
      <w:r w:rsidRPr="00EC2D55">
        <w:rPr>
          <w:i/>
          <w:iCs/>
        </w:rPr>
        <w:t xml:space="preserve"> </w:t>
      </w:r>
      <w:r w:rsidRPr="00EC2D55">
        <w:rPr>
          <w:i/>
          <w:iCs/>
        </w:rPr>
        <w:t>ragioni (ad es. di culto o di ostentazione), consente alla collettività locale di</w:t>
      </w:r>
      <w:r w:rsidRPr="00EC2D55">
        <w:rPr>
          <w:i/>
          <w:iCs/>
        </w:rPr>
        <w:t xml:space="preserve"> </w:t>
      </w:r>
      <w:r w:rsidRPr="00EC2D55">
        <w:rPr>
          <w:i/>
          <w:iCs/>
        </w:rPr>
        <w:t>utilizzare un suo bene, sia pure in orari o in giorni limitati: si pensi al</w:t>
      </w:r>
      <w:r w:rsidRPr="00EC2D55">
        <w:rPr>
          <w:i/>
          <w:iCs/>
        </w:rPr>
        <w:t xml:space="preserve"> </w:t>
      </w:r>
      <w:r w:rsidRPr="00EC2D55">
        <w:rPr>
          <w:i/>
          <w:iCs/>
        </w:rPr>
        <w:t>proprietario di un bene monumentale, che consenta alla collettività locale di</w:t>
      </w:r>
      <w:r w:rsidRPr="00EC2D55">
        <w:rPr>
          <w:i/>
          <w:iCs/>
        </w:rPr>
        <w:t xml:space="preserve"> </w:t>
      </w:r>
      <w:r w:rsidRPr="00EC2D55">
        <w:rPr>
          <w:i/>
          <w:iCs/>
        </w:rPr>
        <w:t>accedere periodicamente alla propria chiesa, per le attività di culto.</w:t>
      </w:r>
      <w:r w:rsidRPr="00EC2D55">
        <w:rPr>
          <w:i/>
          <w:iCs/>
        </w:rPr>
        <w:t xml:space="preserve"> </w:t>
      </w:r>
      <w:r w:rsidRPr="00EC2D55">
        <w:rPr>
          <w:i/>
          <w:iCs/>
        </w:rPr>
        <w:t xml:space="preserve">La </w:t>
      </w:r>
      <w:r w:rsidR="001432D9">
        <w:rPr>
          <w:i/>
          <w:iCs/>
        </w:rPr>
        <w:t>“</w:t>
      </w:r>
      <w:r w:rsidRPr="00EC2D55">
        <w:rPr>
          <w:i/>
          <w:iCs/>
        </w:rPr>
        <w:t>scelta imposta</w:t>
      </w:r>
      <w:r w:rsidR="001432D9">
        <w:rPr>
          <w:i/>
          <w:iCs/>
        </w:rPr>
        <w:t>”</w:t>
      </w:r>
      <w:r w:rsidRPr="00EC2D55">
        <w:rPr>
          <w:i/>
          <w:iCs/>
        </w:rPr>
        <w:t xml:space="preserve"> si ha tipicamente nel diritto urbanistico, allorquando –</w:t>
      </w:r>
      <w:r w:rsidRPr="00EC2D55">
        <w:rPr>
          <w:i/>
          <w:iCs/>
        </w:rPr>
        <w:t xml:space="preserve"> </w:t>
      </w:r>
      <w:r w:rsidRPr="00EC2D55">
        <w:rPr>
          <w:i/>
          <w:iCs/>
        </w:rPr>
        <w:t>per il soddisfacimento degli standard – il titolare di un titolo edilizio può</w:t>
      </w:r>
      <w:r w:rsidRPr="00EC2D55">
        <w:rPr>
          <w:i/>
          <w:iCs/>
        </w:rPr>
        <w:t xml:space="preserve"> </w:t>
      </w:r>
      <w:r w:rsidRPr="00EC2D55">
        <w:rPr>
          <w:i/>
          <w:iCs/>
        </w:rPr>
        <w:t>costruire un proprio bene, purché realizzi spazi destinati al transito o al</w:t>
      </w:r>
      <w:r w:rsidRPr="00EC2D55">
        <w:rPr>
          <w:i/>
          <w:iCs/>
        </w:rPr>
        <w:t xml:space="preserve"> </w:t>
      </w:r>
      <w:r w:rsidRPr="00EC2D55">
        <w:rPr>
          <w:i/>
          <w:iCs/>
        </w:rPr>
        <w:t>parcheggio.</w:t>
      </w:r>
      <w:r w:rsidRPr="00EC2D55">
        <w:rPr>
          <w:i/>
          <w:iCs/>
        </w:rPr>
        <w:t xml:space="preserve"> </w:t>
      </w:r>
      <w:r w:rsidRPr="00EC2D55">
        <w:rPr>
          <w:i/>
          <w:iCs/>
        </w:rPr>
        <w:t>Tali spazi – anche se non diventano di proprietà pubblica – di regola hanno</w:t>
      </w:r>
      <w:r w:rsidRPr="00EC2D55">
        <w:rPr>
          <w:i/>
          <w:iCs/>
        </w:rPr>
        <w:t xml:space="preserve"> </w:t>
      </w:r>
      <w:r w:rsidRPr="00EC2D55">
        <w:rPr>
          <w:i/>
          <w:iCs/>
        </w:rPr>
        <w:t>natura pertinenziale sotto il profilo privatistico e comunque non possono</w:t>
      </w:r>
      <w:r w:rsidRPr="00EC2D55">
        <w:rPr>
          <w:i/>
          <w:iCs/>
        </w:rPr>
        <w:t xml:space="preserve"> a</w:t>
      </w:r>
      <w:r w:rsidRPr="00EC2D55">
        <w:rPr>
          <w:i/>
          <w:iCs/>
        </w:rPr>
        <w:t>vere una destinazione diversa da quella prevista dal titolo che ha</w:t>
      </w:r>
      <w:r w:rsidRPr="00EC2D55">
        <w:rPr>
          <w:i/>
          <w:iCs/>
        </w:rPr>
        <w:t xml:space="preserve"> </w:t>
      </w:r>
      <w:r w:rsidRPr="00EC2D55">
        <w:rPr>
          <w:i/>
          <w:iCs/>
        </w:rPr>
        <w:t>consentito la realizzazione del bene principale.</w:t>
      </w:r>
      <w:r w:rsidRPr="00EC2D55">
        <w:rPr>
          <w:i/>
          <w:iCs/>
        </w:rPr>
        <w:t xml:space="preserve"> </w:t>
      </w:r>
      <w:r w:rsidRPr="00EC2D55">
        <w:rPr>
          <w:i/>
          <w:iCs/>
        </w:rPr>
        <w:t>Pertanto, quando il titolo edilizio consente la realizzazione di una struttura</w:t>
      </w:r>
      <w:r w:rsidRPr="00EC2D55">
        <w:rPr>
          <w:i/>
          <w:iCs/>
        </w:rPr>
        <w:t xml:space="preserve"> </w:t>
      </w:r>
      <w:r w:rsidRPr="00EC2D55">
        <w:rPr>
          <w:i/>
          <w:iCs/>
        </w:rPr>
        <w:t>di vendita e prevede la destinazione di un’area a parcheggio, tale area per</w:t>
      </w:r>
      <w:r w:rsidRPr="00EC2D55">
        <w:rPr>
          <w:i/>
          <w:iCs/>
        </w:rPr>
        <w:t xml:space="preserve"> </w:t>
      </w:r>
      <w:r w:rsidRPr="00EC2D55">
        <w:rPr>
          <w:i/>
          <w:iCs/>
        </w:rPr>
        <w:t>intero deve mantenere siffatta destinazione</w:t>
      </w:r>
      <w:r w:rsidRPr="00EC2D55">
        <w:rPr>
          <w:i/>
          <w:iCs/>
        </w:rPr>
        <w:t>…”</w:t>
      </w:r>
    </w:p>
    <w:p w14:paraId="72209E77" w14:textId="43B0E2D0" w:rsidR="001432D9" w:rsidRDefault="00EC2D55" w:rsidP="00EC2D55">
      <w:pPr>
        <w:jc w:val="both"/>
      </w:pPr>
      <w:r>
        <w:t>Considerazioni fondamentali</w:t>
      </w:r>
      <w:r w:rsidR="001432D9">
        <w:t>,</w:t>
      </w:r>
      <w:r>
        <w:t xml:space="preserve"> che contribuiscono a meglio definire le situazioni dove possiamo legittimamente considerare delle aree private soggette a servitù di pubblico passaggio attratte nel presupposto del Canone Unico. </w:t>
      </w:r>
      <w:r w:rsidR="001432D9">
        <w:t xml:space="preserve">Pensiamo ad esempio ai portici delle nostre città, in questi casi ci troviamo di fronte a delle “scelte imposte” per fini urbanistici; dei vincoli sorti proprio per </w:t>
      </w:r>
      <w:r w:rsidR="00B100A1">
        <w:t>permettere</w:t>
      </w:r>
      <w:r w:rsidR="001432D9">
        <w:t xml:space="preserve"> l’edificazione dei fabbricati.</w:t>
      </w:r>
    </w:p>
    <w:p w14:paraId="46503376" w14:textId="0BCDD2E7" w:rsidR="009D77EA" w:rsidRDefault="002D4155" w:rsidP="00EC2D55">
      <w:pPr>
        <w:jc w:val="both"/>
      </w:pPr>
      <w:r>
        <w:t xml:space="preserve">Un orientamento diffuso e trasversale a diversi organi di giustizia, tutti orientati a dare valore alla </w:t>
      </w:r>
      <w:proofErr w:type="spellStart"/>
      <w:r w:rsidRPr="00EC2D55">
        <w:rPr>
          <w:i/>
          <w:iCs/>
        </w:rPr>
        <w:t>dicatio</w:t>
      </w:r>
      <w:proofErr w:type="spellEnd"/>
      <w:r w:rsidRPr="00EC2D55">
        <w:rPr>
          <w:i/>
          <w:iCs/>
        </w:rPr>
        <w:t xml:space="preserve"> ad </w:t>
      </w:r>
      <w:proofErr w:type="spellStart"/>
      <w:r w:rsidRPr="00EC2D55">
        <w:rPr>
          <w:i/>
          <w:iCs/>
        </w:rPr>
        <w:t>patriam</w:t>
      </w:r>
      <w:proofErr w:type="spellEnd"/>
      <w:r>
        <w:t xml:space="preserve"> come modalità di costituzione della servitù pubblica. </w:t>
      </w:r>
      <w:r w:rsidR="009D77EA">
        <w:t xml:space="preserve"> </w:t>
      </w:r>
    </w:p>
    <w:sectPr w:rsidR="009D77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54"/>
    <w:rsid w:val="0001403A"/>
    <w:rsid w:val="00060149"/>
    <w:rsid w:val="000F1A8F"/>
    <w:rsid w:val="001432D9"/>
    <w:rsid w:val="00251BDB"/>
    <w:rsid w:val="002520A1"/>
    <w:rsid w:val="00266454"/>
    <w:rsid w:val="002A1046"/>
    <w:rsid w:val="002D4155"/>
    <w:rsid w:val="003A45C7"/>
    <w:rsid w:val="005A5C56"/>
    <w:rsid w:val="00714317"/>
    <w:rsid w:val="00777E47"/>
    <w:rsid w:val="00807F85"/>
    <w:rsid w:val="008613B2"/>
    <w:rsid w:val="009D77EA"/>
    <w:rsid w:val="00B100A1"/>
    <w:rsid w:val="00BA1A3E"/>
    <w:rsid w:val="00C5523D"/>
    <w:rsid w:val="00D13739"/>
    <w:rsid w:val="00D5784B"/>
    <w:rsid w:val="00D703BD"/>
    <w:rsid w:val="00EC2D55"/>
    <w:rsid w:val="00F24071"/>
    <w:rsid w:val="00F271C1"/>
    <w:rsid w:val="00F423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DEC5"/>
  <w15:chartTrackingRefBased/>
  <w15:docId w15:val="{E1FF7981-F779-49B5-9A28-3450F1B4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83288">
      <w:bodyDiv w:val="1"/>
      <w:marLeft w:val="0"/>
      <w:marRight w:val="0"/>
      <w:marTop w:val="0"/>
      <w:marBottom w:val="0"/>
      <w:divBdr>
        <w:top w:val="none" w:sz="0" w:space="0" w:color="auto"/>
        <w:left w:val="none" w:sz="0" w:space="0" w:color="auto"/>
        <w:bottom w:val="none" w:sz="0" w:space="0" w:color="auto"/>
        <w:right w:val="none" w:sz="0" w:space="0" w:color="auto"/>
      </w:divBdr>
    </w:div>
    <w:div w:id="1709647336">
      <w:bodyDiv w:val="1"/>
      <w:marLeft w:val="0"/>
      <w:marRight w:val="0"/>
      <w:marTop w:val="0"/>
      <w:marBottom w:val="0"/>
      <w:divBdr>
        <w:top w:val="none" w:sz="0" w:space="0" w:color="auto"/>
        <w:left w:val="none" w:sz="0" w:space="0" w:color="auto"/>
        <w:bottom w:val="none" w:sz="0" w:space="0" w:color="auto"/>
        <w:right w:val="none" w:sz="0" w:space="0" w:color="auto"/>
      </w:divBdr>
      <w:divsChild>
        <w:div w:id="1602453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73989">
      <w:bodyDiv w:val="1"/>
      <w:marLeft w:val="0"/>
      <w:marRight w:val="0"/>
      <w:marTop w:val="0"/>
      <w:marBottom w:val="0"/>
      <w:divBdr>
        <w:top w:val="none" w:sz="0" w:space="0" w:color="auto"/>
        <w:left w:val="none" w:sz="0" w:space="0" w:color="auto"/>
        <w:bottom w:val="none" w:sz="0" w:space="0" w:color="auto"/>
        <w:right w:val="none" w:sz="0" w:space="0" w:color="auto"/>
      </w:divBdr>
      <w:divsChild>
        <w:div w:id="1475442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Pages>
  <Words>1782</Words>
  <Characters>10158</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12</cp:revision>
  <dcterms:created xsi:type="dcterms:W3CDTF">2023-08-31T11:41:00Z</dcterms:created>
  <dcterms:modified xsi:type="dcterms:W3CDTF">2023-09-05T11:25:00Z</dcterms:modified>
</cp:coreProperties>
</file>