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2ACDB" w14:textId="71448D5C" w:rsidR="00060149" w:rsidRDefault="0059641F">
      <w:r>
        <w:t>Titolo: divieto di disporre esenzioni non definite nel Regolamento Comunale – Parere della Corte dei Conti Puglia n. 93/2023 del 31 maggio 2023</w:t>
      </w:r>
    </w:p>
    <w:p w14:paraId="2A84F29A" w14:textId="77777777" w:rsidR="0059641F" w:rsidRDefault="0059641F"/>
    <w:p w14:paraId="614A2485" w14:textId="2926671E" w:rsidR="0059641F" w:rsidRDefault="0059641F" w:rsidP="0020369D">
      <w:pPr>
        <w:jc w:val="both"/>
      </w:pPr>
      <w:r>
        <w:t xml:space="preserve">È stata di recente pubblicata una delibera della Corte dei Conti Puglia che esprime </w:t>
      </w:r>
      <w:r w:rsidR="00653C11">
        <w:t xml:space="preserve">parere </w:t>
      </w:r>
      <w:r w:rsidR="0020369D">
        <w:t xml:space="preserve">negativo </w:t>
      </w:r>
      <w:r w:rsidR="00653C11">
        <w:t>circa la correttezza di deliberare delle speciali ed eccezionali esenzioni non disciplinate nel Regolamento Comunale.</w:t>
      </w:r>
      <w:r w:rsidR="00B74798">
        <w:t xml:space="preserve"> Un documento che deve far riflettere su una tematica importante, che vede sempre più spesso dei comportamenti non adeguati da parte degli amministratori locali.</w:t>
      </w:r>
    </w:p>
    <w:p w14:paraId="598F5DF1" w14:textId="66ADABA5" w:rsidR="00653C11" w:rsidRDefault="00653C11" w:rsidP="0020369D">
      <w:pPr>
        <w:jc w:val="both"/>
      </w:pPr>
      <w:r>
        <w:t>Il quesito posto da un Comune pugliese, verte</w:t>
      </w:r>
      <w:r w:rsidR="0020369D">
        <w:t xml:space="preserve"> proprio</w:t>
      </w:r>
      <w:r>
        <w:t xml:space="preserve"> sulla "possibilità o impossibilità per l'Ente di disporre, in riferimento ad una limitata casistica e per periodi temporali ristrettissimi ed in favore di operatori economici privati, l'esonero da un carico fiscale al quale corrisponderebbe una trascurabile diretta diminuzione delle entrate del bilancio dell'Ente, compensata tuttavia dalle rilevanti ricadute economiche positive sull'intera economia cittadina, privata e pubblica e, quindi, in una prospettiva indiretta e di medio-lungo periodo, anche sul bilancio comunale".</w:t>
      </w:r>
    </w:p>
    <w:p w14:paraId="503BEF2B" w14:textId="10D5B0CD" w:rsidR="00653C11" w:rsidRDefault="00653C11" w:rsidP="0020369D">
      <w:pPr>
        <w:jc w:val="both"/>
      </w:pPr>
      <w:r>
        <w:t>La Corte non può che negare questa possibilità, che travalica le competenze e l’autonomia di una Pubblica Amministrazione nella gestione di un’entrata pubblica.</w:t>
      </w:r>
    </w:p>
    <w:p w14:paraId="5B2FBA9F" w14:textId="186CC62E" w:rsidR="005A6AE8" w:rsidRDefault="005A6AE8" w:rsidP="0020369D">
      <w:pPr>
        <w:jc w:val="both"/>
      </w:pPr>
      <w:r>
        <w:t>Si noti nella formulazione del quesito l’utilizzo delle seguenti parole: “limitata casistica”, “</w:t>
      </w:r>
      <w:r>
        <w:t>periodi temporali ristrettissimi</w:t>
      </w:r>
      <w:r>
        <w:t>”, “</w:t>
      </w:r>
      <w:r>
        <w:t>trascurabile diminuzione delle entrate</w:t>
      </w:r>
      <w:r>
        <w:t>”, “</w:t>
      </w:r>
      <w:r>
        <w:t>rilevanti ricadute economiche positive</w:t>
      </w:r>
      <w:r>
        <w:t>”. Queste danno il senso e la misura di come molti amministratori locali pensino</w:t>
      </w:r>
      <w:r w:rsidR="00A3644E">
        <w:t xml:space="preserve">, sbagliando, </w:t>
      </w:r>
      <w:r>
        <w:t xml:space="preserve"> di poter disporre di un’entrata pubblica. Parole che giustificano e cercano credito rispetto a scelte che evidentemente sono illegittime. </w:t>
      </w:r>
    </w:p>
    <w:p w14:paraId="3ADCCB94" w14:textId="5D811881" w:rsidR="00A26C2C" w:rsidRDefault="00653C11" w:rsidP="00653C11">
      <w:pPr>
        <w:jc w:val="both"/>
      </w:pPr>
      <w:r>
        <w:t xml:space="preserve">Nelle scorse settimane avevamo </w:t>
      </w:r>
      <w:r w:rsidR="00A26C2C">
        <w:t xml:space="preserve">già </w:t>
      </w:r>
      <w:r>
        <w:t xml:space="preserve">affrontato il tema in generale sulla autonomia riconosciuta agli enti territoriali in materia di proprie entrate. La valutazione di quel limite invisibile che si crea nel rispetto dei ruoli. </w:t>
      </w:r>
      <w:r w:rsidR="00A26C2C">
        <w:t xml:space="preserve">E quella tendenza/tentazione di molte amministrazioni </w:t>
      </w:r>
      <w:r w:rsidR="0020369D">
        <w:t>ad</w:t>
      </w:r>
      <w:r w:rsidR="00A26C2C">
        <w:t xml:space="preserve"> assumere specifiche iniziative a vantaggio di particolari situazioni perché di interesse in quel momento da parte della Giunta Comunale, del </w:t>
      </w:r>
      <w:r w:rsidR="00467EF4">
        <w:t>Sindaco o</w:t>
      </w:r>
      <w:r w:rsidR="00A26C2C">
        <w:t xml:space="preserve"> del singolo assessore. </w:t>
      </w:r>
    </w:p>
    <w:p w14:paraId="156638F6" w14:textId="284DBE11" w:rsidR="00653C11" w:rsidRDefault="00653C11" w:rsidP="00653C11">
      <w:pPr>
        <w:jc w:val="both"/>
      </w:pPr>
      <w:r w:rsidRPr="00653C11">
        <w:t>È chiaro che qualunque iniziativa adottata</w:t>
      </w:r>
      <w:r>
        <w:t xml:space="preserve"> dagli enti</w:t>
      </w:r>
      <w:r w:rsidRPr="00653C11">
        <w:t>, deve</w:t>
      </w:r>
      <w:r w:rsidR="00467EF4">
        <w:t xml:space="preserve"> sempre</w:t>
      </w:r>
      <w:r w:rsidR="003848C2">
        <w:t xml:space="preserve">, affidarsi alle disposizioni di Legge e Regolamento, e </w:t>
      </w:r>
      <w:r w:rsidRPr="00653C11">
        <w:t>rispettare gli equilibri finanziari dell’Ente</w:t>
      </w:r>
      <w:r>
        <w:t xml:space="preserve"> stesso</w:t>
      </w:r>
      <w:r w:rsidR="0020369D">
        <w:t>, oltre che garantire il rispetto de</w:t>
      </w:r>
      <w:r w:rsidRPr="00653C11">
        <w:t xml:space="preserve">i principi che rimandano al “beneficio economico” di colui che effettua l’occupazione o l’esposizione pubblicitaria e al “sacrificio che si impone alla collettività”.  </w:t>
      </w:r>
    </w:p>
    <w:p w14:paraId="74888396" w14:textId="67B994B9" w:rsidR="00653C11" w:rsidRDefault="00AC7A99" w:rsidP="00653C11">
      <w:pPr>
        <w:jc w:val="both"/>
      </w:pPr>
      <w:r>
        <w:t>È chiaro</w:t>
      </w:r>
      <w:r w:rsidR="00653C11">
        <w:t xml:space="preserve"> </w:t>
      </w:r>
      <w:r w:rsidR="00C9360C">
        <w:t xml:space="preserve">quindi </w:t>
      </w:r>
      <w:r w:rsidR="00653C11">
        <w:t>che le disposizioni di agevolazioni</w:t>
      </w:r>
      <w:r w:rsidR="0020369D">
        <w:t>, che avranno carattere generale,</w:t>
      </w:r>
      <w:r w:rsidR="00653C11">
        <w:t xml:space="preserve"> de</w:t>
      </w:r>
      <w:r w:rsidR="0020369D">
        <w:t>vono</w:t>
      </w:r>
      <w:r w:rsidR="00653C11">
        <w:t xml:space="preserve"> trovare </w:t>
      </w:r>
      <w:r w:rsidR="0020369D">
        <w:t xml:space="preserve">sempre </w:t>
      </w:r>
      <w:r w:rsidR="00653C11">
        <w:t xml:space="preserve">spazio all’interno dello strumento regolamentare che, in ossequio al comma 821 della Legge 160/2019, </w:t>
      </w:r>
      <w:r w:rsidR="00C9360C">
        <w:t>conterrà</w:t>
      </w:r>
      <w:r w:rsidR="00653C11">
        <w:t xml:space="preserve"> la </w:t>
      </w:r>
      <w:r w:rsidR="00B4015A">
        <w:t>specifica</w:t>
      </w:r>
      <w:r w:rsidR="00653C11">
        <w:t xml:space="preserve"> disciplina di ciascun Comune, Provincia o Città Metropolitana</w:t>
      </w:r>
      <w:r w:rsidR="00C9360C">
        <w:t>, adottando soluzioni nel rispetto dei principi di gradualità e proporzionalità delle tariffe e delle richieste di pagamento</w:t>
      </w:r>
      <w:r w:rsidR="0020369D">
        <w:t>.</w:t>
      </w:r>
    </w:p>
    <w:p w14:paraId="616D4D8E" w14:textId="558B5BB1" w:rsidR="00AC7A99" w:rsidRDefault="00AC7A99" w:rsidP="00AC7A99">
      <w:pPr>
        <w:jc w:val="both"/>
      </w:pPr>
      <w:r>
        <w:t>In questo senso, la stessa Corte dei Conti ricorda come “il Legislatore statale ha attribuito agli Enti territoriali il potere di disciplinare il canone unico patrimoniale in modo da garantire l'invarianza di gettito anche eventualmente attraverso la modifica delle tariffe, così operando un bilanciamento tra la necessità di predeterminazione statuale della tariffa base, al fine di garantire il rispetto della riserva di legge di cui all’art. 23 Cost., e l’esigenza di tutelare l’autonomia finanziaria dei singoli Enti territoriali riconosciuta dagli artt. 117, 118 e 119 Cost..”</w:t>
      </w:r>
    </w:p>
    <w:p w14:paraId="7AF89A7A" w14:textId="25E2CC14" w:rsidR="00BE2883" w:rsidRDefault="00AC7A99" w:rsidP="00BE2883">
      <w:pPr>
        <w:jc w:val="both"/>
      </w:pPr>
      <w:r>
        <w:t xml:space="preserve">È ben chiara quindi anche alla Corte, l’esigenza di mantenere l’equilibrio tra il rispetto delle norme e le </w:t>
      </w:r>
      <w:r w:rsidR="0020369D">
        <w:t xml:space="preserve">specifiche </w:t>
      </w:r>
      <w:r>
        <w:t>necessità degli enti</w:t>
      </w:r>
      <w:r w:rsidR="0020369D">
        <w:t>. C</w:t>
      </w:r>
      <w:r>
        <w:t xml:space="preserve">osì come è </w:t>
      </w:r>
      <w:r w:rsidR="0020369D">
        <w:t xml:space="preserve">altrettanto pacifico </w:t>
      </w:r>
      <w:r>
        <w:t>che un eventuale esonero (totale o parziale) dal pagamento del canone unico patrimoniale</w:t>
      </w:r>
      <w:r w:rsidR="0020369D">
        <w:t xml:space="preserve"> per una singola e determinata situazione,</w:t>
      </w:r>
      <w:r>
        <w:t xml:space="preserve"> comporterebbe una diretta diminuzione delle entrate del bilancio dell'Ente territoriale, in violazione della disciplina recata dalla Legge n. 160/2019.</w:t>
      </w:r>
      <w:r w:rsidR="00BE2883">
        <w:t xml:space="preserve"> Peraltro un esonero eccezionale legato ad u</w:t>
      </w:r>
      <w:r w:rsidR="0020369D">
        <w:t>n particolare evento</w:t>
      </w:r>
      <w:r w:rsidR="00BE2883">
        <w:t xml:space="preserve">, si tradurrebbe in un vantaggio solo per alcune categorie di soggetti, realizzando </w:t>
      </w:r>
      <w:r w:rsidR="0020369D">
        <w:t xml:space="preserve">così </w:t>
      </w:r>
      <w:r w:rsidR="00BE2883">
        <w:t>una ingiustificata disparità di trattamento e vanificando il fine che ha animato il Legislatore nell’emanazione della disciplina sul canone unico patrimoniale.</w:t>
      </w:r>
    </w:p>
    <w:p w14:paraId="54554B59" w14:textId="0B5A9782" w:rsidR="005A6AE8" w:rsidRDefault="009073F4" w:rsidP="00BE2883">
      <w:pPr>
        <w:jc w:val="both"/>
      </w:pPr>
      <w:r>
        <w:lastRenderedPageBreak/>
        <w:t>Questa delibera della Corte dei Conti Puglia deve</w:t>
      </w:r>
      <w:r w:rsidR="005A6AE8">
        <w:t xml:space="preserve"> </w:t>
      </w:r>
      <w:r w:rsidR="00A3644E">
        <w:t xml:space="preserve">quindi </w:t>
      </w:r>
      <w:r w:rsidR="005A6AE8">
        <w:t>assolutamente funzionare</w:t>
      </w:r>
      <w:r>
        <w:t xml:space="preserve"> da monito, per tutte le amministrazioni locali. </w:t>
      </w:r>
    </w:p>
    <w:p w14:paraId="53FE146F" w14:textId="77777777" w:rsidR="005A6AE8" w:rsidRDefault="009073F4" w:rsidP="00BE2883">
      <w:pPr>
        <w:jc w:val="both"/>
      </w:pPr>
      <w:r>
        <w:t xml:space="preserve">Quante volte </w:t>
      </w:r>
      <w:r w:rsidR="00B74798">
        <w:t xml:space="preserve">infatti </w:t>
      </w:r>
      <w:r>
        <w:t xml:space="preserve">assistiamo a delle esenzioni per occupazioni o iniziative pubblicitarie di manifestazioni di particolare interesse? Quante volte nell’ambito di feste patronali vengono accordate esenzioni a chi anima la festa con lo street food, o </w:t>
      </w:r>
      <w:r w:rsidR="00F237A5">
        <w:t>con le</w:t>
      </w:r>
      <w:r>
        <w:t xml:space="preserve"> attrazioni dello spettacolo viaggiante o con il commercio ambulante di prodotti particolari?</w:t>
      </w:r>
      <w:r w:rsidR="00F237A5">
        <w:t xml:space="preserve"> </w:t>
      </w:r>
    </w:p>
    <w:p w14:paraId="7F34ED47" w14:textId="601BC6E3" w:rsidR="005A6AE8" w:rsidRDefault="00F237A5" w:rsidP="00BE2883">
      <w:pPr>
        <w:jc w:val="both"/>
      </w:pPr>
      <w:r>
        <w:t>Sempre più di frequente gli amministratori locali, per attirare gente e per garantire la buona riuscita di iniziative da svolgere su suolo pubblico, promettono e concedono l’utilizzo del suolo gratuitamente, mettendo in imbarazzo</w:t>
      </w:r>
      <w:r w:rsidR="005A6AE8">
        <w:t xml:space="preserve"> l’ufficio tributi e</w:t>
      </w:r>
      <w:r>
        <w:t xml:space="preserve"> il funzionario dell’entrata che </w:t>
      </w:r>
      <w:r w:rsidR="00B06C63">
        <w:t>viceversa</w:t>
      </w:r>
      <w:r>
        <w:t xml:space="preserve"> è chiamato a far rispettare le norme che disciplinano l’entrata</w:t>
      </w:r>
      <w:r w:rsidR="00B06C63">
        <w:t>.</w:t>
      </w:r>
      <w:r w:rsidR="005A6AE8">
        <w:t xml:space="preserve"> </w:t>
      </w:r>
      <w:r w:rsidR="005B6F2A">
        <w:t xml:space="preserve"> </w:t>
      </w:r>
    </w:p>
    <w:p w14:paraId="1E7E936A" w14:textId="1858D122" w:rsidR="00B74798" w:rsidRDefault="00B74798" w:rsidP="00BE2883">
      <w:pPr>
        <w:jc w:val="both"/>
      </w:pPr>
      <w:r>
        <w:t xml:space="preserve">In questo senso si condivide </w:t>
      </w:r>
      <w:r w:rsidR="00A3644E">
        <w:t xml:space="preserve">pienamente </w:t>
      </w:r>
      <w:r>
        <w:t>la posizione della Corte dei Conti e si invita a rispettarne le previsioni per una corretta e equa gestione della nuova entrata patrimoniale.</w:t>
      </w:r>
      <w:r w:rsidR="005A6AE8">
        <w:t xml:space="preserve"> </w:t>
      </w:r>
    </w:p>
    <w:p w14:paraId="178541C0" w14:textId="77777777" w:rsidR="00B74798" w:rsidRDefault="00B74798" w:rsidP="00BE2883">
      <w:pPr>
        <w:jc w:val="both"/>
      </w:pPr>
    </w:p>
    <w:p w14:paraId="7A548E3F" w14:textId="0724E608" w:rsidR="00B74798" w:rsidRDefault="00B74798" w:rsidP="00BE2883">
      <w:pPr>
        <w:jc w:val="both"/>
      </w:pPr>
      <w:r>
        <w:t xml:space="preserve">Allegato: </w:t>
      </w:r>
      <w:r w:rsidRPr="00B74798">
        <w:t>Corte Conti Puglia – Parere – Deliberazione n. 93/2023/PAR del 31/5/2023</w:t>
      </w:r>
    </w:p>
    <w:p w14:paraId="1410050F" w14:textId="4D997DD6" w:rsidR="009073F4" w:rsidRDefault="009073F4" w:rsidP="00BE2883">
      <w:pPr>
        <w:jc w:val="both"/>
      </w:pPr>
      <w:r>
        <w:t xml:space="preserve">  </w:t>
      </w:r>
    </w:p>
    <w:p w14:paraId="2A1C374C" w14:textId="77777777" w:rsidR="00653C11" w:rsidRPr="00653C11" w:rsidRDefault="00653C11" w:rsidP="00653C11">
      <w:pPr>
        <w:jc w:val="both"/>
      </w:pPr>
    </w:p>
    <w:p w14:paraId="34E6DE17" w14:textId="0DA3E600" w:rsidR="00653C11" w:rsidRDefault="00653C11" w:rsidP="00653C11"/>
    <w:sectPr w:rsidR="00653C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52"/>
    <w:rsid w:val="00060149"/>
    <w:rsid w:val="0020369D"/>
    <w:rsid w:val="002E3652"/>
    <w:rsid w:val="003848C2"/>
    <w:rsid w:val="00467EF4"/>
    <w:rsid w:val="0059641F"/>
    <w:rsid w:val="005A6AE8"/>
    <w:rsid w:val="005B6F2A"/>
    <w:rsid w:val="00653C11"/>
    <w:rsid w:val="009073F4"/>
    <w:rsid w:val="00A26C2C"/>
    <w:rsid w:val="00A3644E"/>
    <w:rsid w:val="00AC7A99"/>
    <w:rsid w:val="00B06C63"/>
    <w:rsid w:val="00B4015A"/>
    <w:rsid w:val="00B71F62"/>
    <w:rsid w:val="00B74798"/>
    <w:rsid w:val="00BE2883"/>
    <w:rsid w:val="00C9360C"/>
    <w:rsid w:val="00F237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3321"/>
  <w15:chartTrackingRefBased/>
  <w15:docId w15:val="{2A8EDF6B-35F2-4DEB-B426-D5FE60A0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2</Pages>
  <Words>810</Words>
  <Characters>4623</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14</cp:revision>
  <dcterms:created xsi:type="dcterms:W3CDTF">2023-06-23T10:53:00Z</dcterms:created>
  <dcterms:modified xsi:type="dcterms:W3CDTF">2023-06-23T14:47:00Z</dcterms:modified>
</cp:coreProperties>
</file>