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6ADAF" w14:textId="6CED8A47" w:rsidR="00482485" w:rsidRDefault="00092F88">
      <w:r>
        <w:t>TITOLO: Il baricentro del CUP</w:t>
      </w:r>
    </w:p>
    <w:p w14:paraId="6FDEAD1E" w14:textId="4CA44452" w:rsidR="00092F88" w:rsidRDefault="00092F88"/>
    <w:p w14:paraId="67C7515F" w14:textId="63F6705D" w:rsidR="00092F88" w:rsidRDefault="00092F88" w:rsidP="00CF41BC">
      <w:pPr>
        <w:jc w:val="both"/>
      </w:pPr>
      <w:r>
        <w:t>Con la trasformazione</w:t>
      </w:r>
      <w:r w:rsidR="00F8048D">
        <w:t xml:space="preserve"> </w:t>
      </w:r>
      <w:r>
        <w:t xml:space="preserve">dei cosiddetti Tributi minori </w:t>
      </w:r>
      <w:r w:rsidR="00F8048D">
        <w:t>nel</w:t>
      </w:r>
      <w:r>
        <w:t xml:space="preserve"> Canone Unico Patrimoniale, </w:t>
      </w:r>
      <w:r w:rsidR="00F8048D">
        <w:t xml:space="preserve">introdotta dal comma 816 della Legge 160 del 2019, </w:t>
      </w:r>
      <w:r>
        <w:t>s</w:t>
      </w:r>
      <w:r w:rsidR="003717EB">
        <w:t xml:space="preserve">ono sorti </w:t>
      </w:r>
      <w:r w:rsidR="00CF41BC">
        <w:t xml:space="preserve">molti </w:t>
      </w:r>
      <w:r>
        <w:t>interrogativi</w:t>
      </w:r>
      <w:r w:rsidR="003717EB">
        <w:t xml:space="preserve">, oggi per lo più </w:t>
      </w:r>
      <w:r w:rsidR="00A4243A">
        <w:t xml:space="preserve">tutti </w:t>
      </w:r>
      <w:r w:rsidR="003717EB">
        <w:t>ancora</w:t>
      </w:r>
      <w:r>
        <w:t xml:space="preserve"> </w:t>
      </w:r>
      <w:r w:rsidR="00A4243A">
        <w:t>irrisolti,</w:t>
      </w:r>
      <w:r>
        <w:t xml:space="preserve"> sulla </w:t>
      </w:r>
      <w:r w:rsidR="00F8048D">
        <w:t xml:space="preserve">nuova </w:t>
      </w:r>
      <w:r>
        <w:t>disciplina</w:t>
      </w:r>
      <w:r w:rsidR="003717EB">
        <w:t>. T</w:t>
      </w:r>
      <w:r w:rsidR="00F8048D">
        <w:t>ra questi</w:t>
      </w:r>
      <w:r>
        <w:t xml:space="preserve"> vi è </w:t>
      </w:r>
      <w:r w:rsidR="00CF41BC">
        <w:t>un particolare processo</w:t>
      </w:r>
      <w:r w:rsidR="00A4243A">
        <w:t>,</w:t>
      </w:r>
      <w:r w:rsidR="003717EB">
        <w:t xml:space="preserve"> </w:t>
      </w:r>
      <w:r w:rsidR="00A4243A">
        <w:t xml:space="preserve">che riguarda trasversalmente più settori e uffici delle </w:t>
      </w:r>
      <w:r w:rsidR="00A4243A">
        <w:t>diverse Pubbliche</w:t>
      </w:r>
      <w:r w:rsidR="00A4243A">
        <w:t xml:space="preserve"> Amministrazioni chiamate a gestire la nuova entrata</w:t>
      </w:r>
      <w:r w:rsidR="00A4243A">
        <w:t xml:space="preserve">, che è in costante </w:t>
      </w:r>
      <w:r w:rsidR="003717EB">
        <w:t>via di trasformazione</w:t>
      </w:r>
      <w:r w:rsidR="00A4243A">
        <w:t xml:space="preserve"> e vede il centro di responsabilità dell’entrata spostarsi sempre di più dall’ufficio tributi dell’ente territoriale.</w:t>
      </w:r>
    </w:p>
    <w:p w14:paraId="6D41BD97" w14:textId="65CC204A" w:rsidR="00CF41BC" w:rsidRDefault="00CF41BC" w:rsidP="00CF41BC">
      <w:pPr>
        <w:jc w:val="both"/>
      </w:pPr>
      <w:r>
        <w:t>Una trasformazione</w:t>
      </w:r>
      <w:r w:rsidR="00F8048D">
        <w:t xml:space="preserve"> che per una serie di </w:t>
      </w:r>
      <w:r w:rsidR="003717EB">
        <w:t>Enti</w:t>
      </w:r>
      <w:r w:rsidR="00F8048D">
        <w:t xml:space="preserve"> locali</w:t>
      </w:r>
      <w:r w:rsidR="00CB0E2C">
        <w:t xml:space="preserve"> era</w:t>
      </w:r>
      <w:r>
        <w:t xml:space="preserve"> già stata faticosamente avviata per quanto riguarda </w:t>
      </w:r>
      <w:r w:rsidR="00CB0E2C">
        <w:t>la componente delle</w:t>
      </w:r>
      <w:r>
        <w:t xml:space="preserve"> occupazioni di suolo pubblico. Con i precedenti prelievi </w:t>
      </w:r>
      <w:r w:rsidR="00F8048D">
        <w:t>infatti i</w:t>
      </w:r>
      <w:r>
        <w:t xml:space="preserve"> Comuni potevano passare da TOSAP a COSAP, quindi da entrata tributaria ad entrata patrimoniale, </w:t>
      </w:r>
      <w:r w:rsidR="00F8048D">
        <w:t>avviando</w:t>
      </w:r>
      <w:r>
        <w:t xml:space="preserve"> quei pass</w:t>
      </w:r>
      <w:r w:rsidR="00A4243A">
        <w:t>aggi</w:t>
      </w:r>
      <w:r>
        <w:t xml:space="preserve"> necessari per avvicinare e legare</w:t>
      </w:r>
      <w:r w:rsidR="00CB0E2C">
        <w:t xml:space="preserve"> indissolubilmente le</w:t>
      </w:r>
      <w:r>
        <w:t xml:space="preserve"> fasi di rilascio delle concessioni con la gestione dell’entrata.</w:t>
      </w:r>
    </w:p>
    <w:p w14:paraId="0A38F67D" w14:textId="1E143ADE" w:rsidR="00092F88" w:rsidRDefault="00CF41BC" w:rsidP="00CF41BC">
      <w:pPr>
        <w:jc w:val="both"/>
      </w:pPr>
      <w:r>
        <w:t xml:space="preserve">Con il prelievo dedicato alla pubblicità, </w:t>
      </w:r>
      <w:r w:rsidR="00F8048D">
        <w:t xml:space="preserve">invece </w:t>
      </w:r>
      <w:r w:rsidR="00CB0E2C">
        <w:t xml:space="preserve">questo percorso non ebbe </w:t>
      </w:r>
      <w:r w:rsidR="00A4243A">
        <w:t xml:space="preserve">mai </w:t>
      </w:r>
      <w:r>
        <w:t xml:space="preserve">maturazione, perché la </w:t>
      </w:r>
      <w:r w:rsidR="00F8048D">
        <w:t>eventuale</w:t>
      </w:r>
      <w:r w:rsidR="00CB0E2C">
        <w:t>,</w:t>
      </w:r>
      <w:r w:rsidR="00F8048D">
        <w:t xml:space="preserve"> e poco praticata</w:t>
      </w:r>
      <w:r w:rsidR="00CB0E2C">
        <w:t>,</w:t>
      </w:r>
      <w:r w:rsidR="00F8048D">
        <w:t xml:space="preserve"> </w:t>
      </w:r>
      <w:r>
        <w:t>trasformazione da ICP  a CIMP non comport</w:t>
      </w:r>
      <w:r w:rsidR="00CB0E2C">
        <w:t>ò</w:t>
      </w:r>
      <w:r>
        <w:t>,</w:t>
      </w:r>
      <w:r w:rsidR="003717EB">
        <w:t xml:space="preserve"> </w:t>
      </w:r>
      <w:r>
        <w:t xml:space="preserve">per i pochi comuni che avevano adottato questa scelta facoltativa, una </w:t>
      </w:r>
      <w:r w:rsidR="00CB0E2C">
        <w:t xml:space="preserve">sostanziale </w:t>
      </w:r>
      <w:r>
        <w:t xml:space="preserve">modifica di disciplina che rimaneva </w:t>
      </w:r>
      <w:r w:rsidR="00CB0E2C">
        <w:t>sempre</w:t>
      </w:r>
      <w:r w:rsidR="003717EB">
        <w:t xml:space="preserve"> prettamente</w:t>
      </w:r>
      <w:r w:rsidR="00CB0E2C">
        <w:t xml:space="preserve"> </w:t>
      </w:r>
      <w:r>
        <w:t xml:space="preserve">tributaria e </w:t>
      </w:r>
      <w:r w:rsidR="00092F88">
        <w:t xml:space="preserve"> </w:t>
      </w:r>
      <w:r>
        <w:t>svincolata dalla fase amministrativa di rilascio delle autorizzazioni.</w:t>
      </w:r>
    </w:p>
    <w:p w14:paraId="58B41488" w14:textId="77777777" w:rsidR="00A4243A" w:rsidRDefault="00CF41BC" w:rsidP="00CF41BC">
      <w:pPr>
        <w:jc w:val="both"/>
      </w:pPr>
      <w:r>
        <w:t xml:space="preserve">Ecco che oggi, con </w:t>
      </w:r>
      <w:r w:rsidR="003717EB">
        <w:t>l’avvento del</w:t>
      </w:r>
      <w:r>
        <w:t xml:space="preserve"> Canone Unico, </w:t>
      </w:r>
      <w:r w:rsidR="00A4243A">
        <w:t xml:space="preserve">e quindi con la necessità di adeguare i modelli gestionali, </w:t>
      </w:r>
      <w:r>
        <w:t>le difficoltà di trasformazione degli iter trova</w:t>
      </w:r>
      <w:r w:rsidR="00CB0E2C">
        <w:t xml:space="preserve">no </w:t>
      </w:r>
      <w:r>
        <w:t xml:space="preserve">maggior evidenza proprio con il prelievo pubblicitario, </w:t>
      </w:r>
      <w:r w:rsidR="003717EB">
        <w:t>nel cui ambito</w:t>
      </w:r>
      <w:r>
        <w:t xml:space="preserve"> nessun Comune si </w:t>
      </w:r>
      <w:r w:rsidR="003717EB">
        <w:t>era mai cimentato alla fusione delle fasi amministrative e di prelievo</w:t>
      </w:r>
      <w:r w:rsidR="00A4243A">
        <w:t>.</w:t>
      </w:r>
    </w:p>
    <w:p w14:paraId="1081F6E2" w14:textId="7946EE04" w:rsidR="00274962" w:rsidRDefault="00A4243A" w:rsidP="00CF41BC">
      <w:pPr>
        <w:jc w:val="both"/>
      </w:pPr>
      <w:r>
        <w:t xml:space="preserve">Nessun Comune oggi </w:t>
      </w:r>
      <w:r w:rsidR="003717EB">
        <w:t xml:space="preserve">di </w:t>
      </w:r>
      <w:r w:rsidR="00CF41BC">
        <w:t>fatto</w:t>
      </w:r>
      <w:r w:rsidR="003717EB">
        <w:t xml:space="preserve"> </w:t>
      </w:r>
      <w:r>
        <w:t>è</w:t>
      </w:r>
      <w:r w:rsidR="00CF41BC">
        <w:t xml:space="preserve"> </w:t>
      </w:r>
      <w:r>
        <w:t xml:space="preserve">ancora </w:t>
      </w:r>
      <w:r w:rsidR="00CF41BC">
        <w:t xml:space="preserve">pronto </w:t>
      </w:r>
      <w:r w:rsidR="00274962">
        <w:t>al cambiamento.</w:t>
      </w:r>
      <w:r>
        <w:t xml:space="preserve"> </w:t>
      </w:r>
      <w:r w:rsidR="00274962">
        <w:t xml:space="preserve">Quante banche dati ancora inadeguate alla nuova disciplina, quanti avvisi di scadenza inviati ai titolari di esposizioni pubblicitarie, senza </w:t>
      </w:r>
      <w:r>
        <w:t>distinzione</w:t>
      </w:r>
      <w:r w:rsidR="00274962">
        <w:t xml:space="preserve"> tra chi </w:t>
      </w:r>
      <w:r>
        <w:t>ha</w:t>
      </w:r>
      <w:r w:rsidR="00274962">
        <w:t xml:space="preserve"> un titolo amministrativo in corso di validità, rispetto a chi non l’ha mai avuto o </w:t>
      </w:r>
      <w:r>
        <w:t>se l’ha avuto</w:t>
      </w:r>
      <w:r w:rsidR="003717EB">
        <w:t xml:space="preserve"> </w:t>
      </w:r>
      <w:r w:rsidR="00274962">
        <w:t>è scaduto nella sua efficacia.</w:t>
      </w:r>
    </w:p>
    <w:p w14:paraId="348FDCC7" w14:textId="494A1267" w:rsidR="00CB0E2C" w:rsidRDefault="00274962" w:rsidP="00CF41BC">
      <w:pPr>
        <w:jc w:val="both"/>
      </w:pPr>
      <w:r>
        <w:t>Del resto i comuni, al pari dei loro concessionari, si sono trovati di fronte ad una scelta</w:t>
      </w:r>
      <w:r w:rsidR="00A4243A">
        <w:t>: d</w:t>
      </w:r>
      <w:r w:rsidR="00F8048D">
        <w:t>are priorità a</w:t>
      </w:r>
      <w:r>
        <w:t xml:space="preserve">gli incassi derivanti da questo </w:t>
      </w:r>
      <w:r w:rsidR="00F8048D">
        <w:t xml:space="preserve">componente </w:t>
      </w:r>
      <w:r w:rsidR="00CB0E2C">
        <w:t xml:space="preserve">di </w:t>
      </w:r>
      <w:r>
        <w:t xml:space="preserve">prelievo </w:t>
      </w:r>
      <w:r w:rsidR="00F8048D">
        <w:t xml:space="preserve">cercando di mantenerli </w:t>
      </w:r>
      <w:r>
        <w:t xml:space="preserve">inalterati rispetto al passato, oppure affrontare </w:t>
      </w:r>
      <w:r w:rsidR="00F8048D">
        <w:t xml:space="preserve">prima </w:t>
      </w:r>
      <w:r>
        <w:t xml:space="preserve">un percorso di regolarizzazione delle autorizzazioni </w:t>
      </w:r>
      <w:r w:rsidR="00F8048D">
        <w:t>e</w:t>
      </w:r>
      <w:r w:rsidR="00A81F89">
        <w:t>,</w:t>
      </w:r>
      <w:r w:rsidR="00F8048D">
        <w:t xml:space="preserve"> solo in seconda battuta</w:t>
      </w:r>
      <w:r w:rsidR="00A81F89">
        <w:t>,</w:t>
      </w:r>
      <w:r w:rsidR="00F8048D">
        <w:t xml:space="preserve"> dedicarsi </w:t>
      </w:r>
      <w:r>
        <w:t>all</w:t>
      </w:r>
      <w:r w:rsidR="00CB0E2C">
        <w:t>e conseguenze della</w:t>
      </w:r>
      <w:r>
        <w:t xml:space="preserve"> gestione dell’entrata</w:t>
      </w:r>
      <w:r w:rsidR="00A81F89">
        <w:t>.</w:t>
      </w:r>
    </w:p>
    <w:p w14:paraId="136C3B15" w14:textId="4BC5A943" w:rsidR="00A81F89" w:rsidRDefault="00CB0E2C" w:rsidP="00CF41BC">
      <w:pPr>
        <w:jc w:val="both"/>
      </w:pPr>
      <w:r>
        <w:t>Un bell’interrogativo, p</w:t>
      </w:r>
      <w:r w:rsidR="00274962">
        <w:t>erché un conto è mantenere inalterato il gettito,</w:t>
      </w:r>
      <w:r>
        <w:t xml:space="preserve"> come richiesto dallo stesso Legislatore al comma </w:t>
      </w:r>
      <w:r w:rsidR="00B96649">
        <w:t>817, inteso</w:t>
      </w:r>
      <w:r w:rsidR="00274962">
        <w:t xml:space="preserve"> come importi iscritti a ruolo e a bilancio dell’ente, un conto </w:t>
      </w:r>
      <w:r>
        <w:t xml:space="preserve">invece </w:t>
      </w:r>
      <w:r w:rsidR="00274962">
        <w:t>è garantire al Comune, l’incasso de</w:t>
      </w:r>
      <w:r>
        <w:t>gli stessi</w:t>
      </w:r>
      <w:r w:rsidR="00274962">
        <w:t xml:space="preserve"> proventi derivanti </w:t>
      </w:r>
      <w:r w:rsidR="00A81F89">
        <w:t>principalmente dall’invio</w:t>
      </w:r>
      <w:r w:rsidR="00274962">
        <w:t xml:space="preserve"> degli avvisi di scadenza</w:t>
      </w:r>
      <w:r>
        <w:t xml:space="preserve"> ad inizio anno</w:t>
      </w:r>
      <w:r w:rsidR="00274962">
        <w:t xml:space="preserve">. </w:t>
      </w:r>
    </w:p>
    <w:p w14:paraId="6A06AE45" w14:textId="4224A8CB" w:rsidR="00274962" w:rsidRDefault="00274962" w:rsidP="00CF41BC">
      <w:pPr>
        <w:jc w:val="both"/>
      </w:pPr>
      <w:r>
        <w:t>Occorre</w:t>
      </w:r>
      <w:r w:rsidR="00B96649">
        <w:t>rebbe</w:t>
      </w:r>
      <w:r>
        <w:t xml:space="preserve"> </w:t>
      </w:r>
      <w:r w:rsidR="003717EB">
        <w:t xml:space="preserve">sulla carta </w:t>
      </w:r>
      <w:r>
        <w:t xml:space="preserve">superare il modello impostato con l’ICP, </w:t>
      </w:r>
      <w:r w:rsidR="00A4243A">
        <w:t xml:space="preserve">quando </w:t>
      </w:r>
      <w:r>
        <w:t>dove</w:t>
      </w:r>
      <w:r w:rsidR="00A4243A">
        <w:t>vi</w:t>
      </w:r>
      <w:r>
        <w:t xml:space="preserve"> paga</w:t>
      </w:r>
      <w:r w:rsidR="00A4243A">
        <w:t>re l’imposta</w:t>
      </w:r>
      <w:r>
        <w:t xml:space="preserve"> per la </w:t>
      </w:r>
      <w:r w:rsidR="003717EB">
        <w:t xml:space="preserve">semplice </w:t>
      </w:r>
      <w:r>
        <w:t>formazione del presupposto,</w:t>
      </w:r>
      <w:r w:rsidR="003717EB">
        <w:t xml:space="preserve"> e</w:t>
      </w:r>
      <w:r>
        <w:t xml:space="preserve"> poi</w:t>
      </w:r>
      <w:r w:rsidR="003717EB">
        <w:t>,</w:t>
      </w:r>
      <w:r>
        <w:t xml:space="preserve"> eventualmente</w:t>
      </w:r>
      <w:r w:rsidR="003717EB">
        <w:t>,</w:t>
      </w:r>
      <w:r>
        <w:t xml:space="preserve"> ti </w:t>
      </w:r>
      <w:r w:rsidR="00A4243A">
        <w:t>veniva richiesto</w:t>
      </w:r>
      <w:r w:rsidR="00CB0E2C">
        <w:t>, con poca convinzione,</w:t>
      </w:r>
      <w:r>
        <w:t xml:space="preserve"> di regolarizzare il titolo autorizzativo. Con il CUP, </w:t>
      </w:r>
      <w:r w:rsidR="003717EB">
        <w:t xml:space="preserve">tutto dovrebbe cambiare e </w:t>
      </w:r>
      <w:r w:rsidR="00A4243A">
        <w:t>gli uffici entrate dovrebbero</w:t>
      </w:r>
      <w:r>
        <w:t xml:space="preserve"> richiedere il pagamento del canone solo a chi </w:t>
      </w:r>
      <w:r w:rsidR="003717EB">
        <w:t xml:space="preserve">effettivamente </w:t>
      </w:r>
      <w:r>
        <w:t xml:space="preserve">rispetta il requisito </w:t>
      </w:r>
      <w:r w:rsidR="00E52501">
        <w:t>amministrativo</w:t>
      </w:r>
      <w:r>
        <w:t>, mentre per tutti gli altri dovre</w:t>
      </w:r>
      <w:r w:rsidR="00A4243A">
        <w:t xml:space="preserve">bbero </w:t>
      </w:r>
      <w:r w:rsidR="00B96649">
        <w:t xml:space="preserve">attivare le impegnative </w:t>
      </w:r>
      <w:r>
        <w:t xml:space="preserve">procedure previste ai commi 821 e 822 della Legge 160/2019 in materia di indennità, sanzioni e rimozione impianti. </w:t>
      </w:r>
    </w:p>
    <w:p w14:paraId="4CB7FEEC" w14:textId="5E914F39" w:rsidR="003277CD" w:rsidRDefault="003277CD" w:rsidP="00CF41BC">
      <w:pPr>
        <w:jc w:val="both"/>
      </w:pPr>
      <w:r>
        <w:t xml:space="preserve">Una vera rivoluzione del modello gestionale dell’entrata, con conseguenze pesanti </w:t>
      </w:r>
      <w:r w:rsidR="00A81F89">
        <w:t xml:space="preserve">per gli uffici ma anche </w:t>
      </w:r>
      <w:r>
        <w:t>a carico di quei contribuenti che fino ad ora avevano fatto legittimo affidamento su una procedura incardinata negli enti locali, in base alla quale bastava pagare</w:t>
      </w:r>
      <w:r w:rsidR="00A81F89">
        <w:t xml:space="preserve"> l’imposta prima e il canone poi per</w:t>
      </w:r>
      <w:r>
        <w:t xml:space="preserve"> considerare regolari la maggior parte delle esposizioni pubblicitarie</w:t>
      </w:r>
      <w:r w:rsidR="00A81F89">
        <w:t>.</w:t>
      </w:r>
    </w:p>
    <w:p w14:paraId="68598FC5" w14:textId="3C6DE120" w:rsidR="00271115" w:rsidRDefault="00274962" w:rsidP="00CF41BC">
      <w:pPr>
        <w:jc w:val="both"/>
      </w:pPr>
      <w:r>
        <w:t>Alzi la mano chi è in grado oggi, al terzo anno di gestione dell’entrata di adottare quest</w:t>
      </w:r>
      <w:r w:rsidR="00B96649">
        <w:t>’ultima</w:t>
      </w:r>
      <w:r>
        <w:t xml:space="preserve"> soluzione. Ovunque</w:t>
      </w:r>
      <w:r w:rsidR="003717EB">
        <w:t xml:space="preserve">, da nord a sud, isole </w:t>
      </w:r>
      <w:r w:rsidR="00A81F89">
        <w:t>comprese, si</w:t>
      </w:r>
      <w:r>
        <w:t xml:space="preserve"> vede una realtà dove la maggior parte dei mezzi pubblicitari </w:t>
      </w:r>
      <w:r w:rsidR="00271115">
        <w:t xml:space="preserve">è a </w:t>
      </w:r>
      <w:r w:rsidR="00271115">
        <w:lastRenderedPageBreak/>
        <w:t xml:space="preserve">ruolo per l’ufficio tributi e sconosciuto per gli uffici tecnici, per il SUAP, per </w:t>
      </w:r>
      <w:r w:rsidR="00B96649">
        <w:t xml:space="preserve">gli uffici </w:t>
      </w:r>
      <w:r w:rsidR="00271115">
        <w:t>mobilità</w:t>
      </w:r>
      <w:r w:rsidR="00A81F89">
        <w:t>, arredo urbano</w:t>
      </w:r>
      <w:r w:rsidR="00271115">
        <w:t xml:space="preserve"> e per la Polizia locale.</w:t>
      </w:r>
    </w:p>
    <w:p w14:paraId="083C0D77" w14:textId="0ACB1086" w:rsidR="00271115" w:rsidRDefault="00A81F89" w:rsidP="00CF41BC">
      <w:pPr>
        <w:jc w:val="both"/>
      </w:pPr>
      <w:r>
        <w:t>Ecco quindi che, s</w:t>
      </w:r>
      <w:r w:rsidR="00271115">
        <w:t xml:space="preserve">e prima il baricentro dell’entrata era </w:t>
      </w:r>
      <w:r w:rsidR="00B96649">
        <w:t xml:space="preserve">saldamente </w:t>
      </w:r>
      <w:r w:rsidR="00271115">
        <w:t xml:space="preserve">collocato nell’area finanziaria dell’ente, oggi si sta spostando lentamente, entrando sempre più nelle competenze di altri settori, dove le visioni </w:t>
      </w:r>
      <w:r w:rsidR="003717EB">
        <w:t xml:space="preserve">tuttavia </w:t>
      </w:r>
      <w:r w:rsidR="00271115">
        <w:t>sono spesso differenti per priorità</w:t>
      </w:r>
      <w:r w:rsidR="003717EB">
        <w:t xml:space="preserve"> e per natura </w:t>
      </w:r>
      <w:r>
        <w:t xml:space="preserve">rispetto </w:t>
      </w:r>
      <w:r w:rsidR="00271115">
        <w:t>da quelle che si vivono all’ufficio tributi.</w:t>
      </w:r>
    </w:p>
    <w:p w14:paraId="6E713ECB" w14:textId="7719EABF" w:rsidR="00B96649" w:rsidRDefault="00E94299" w:rsidP="00E94299">
      <w:pPr>
        <w:jc w:val="both"/>
      </w:pPr>
      <w:r>
        <w:t xml:space="preserve">All’interno dell’ente locale si assiste ad una duplice visione </w:t>
      </w:r>
      <w:r w:rsidR="00F41057">
        <w:t>con</w:t>
      </w:r>
      <w:r>
        <w:t xml:space="preserve"> comportamenti diversi a seconda di come viene gestita la singola tipologia. Prendiamo ad esempio le “insegne d’esercizio”, mezzi pubblicitari che rientrano a pieno titolo nel presupposto del Canone Unico</w:t>
      </w:r>
      <w:r w:rsidR="003258A6">
        <w:t xml:space="preserve"> e </w:t>
      </w:r>
      <w:r>
        <w:t xml:space="preserve">che solo in determinati casi risultano esenti dal pagamento. Nelle realtà </w:t>
      </w:r>
      <w:r w:rsidR="00F41057">
        <w:t xml:space="preserve">locali </w:t>
      </w:r>
      <w:r>
        <w:t>dove queste sono gestite dal punto amministrativo in modo puntuale prevedendo il rilascio dell’autorizzazione ai sensi dell’articolo 23 del Codice della Strada, diventa necessario un allineamento con l’ufficio entrate che ne deve riscuotere il pagamento annuale del Canone</w:t>
      </w:r>
      <w:r w:rsidR="00F41057">
        <w:t>. M</w:t>
      </w:r>
      <w:r>
        <w:t xml:space="preserve">a quante volte </w:t>
      </w:r>
      <w:r w:rsidR="003258A6">
        <w:t xml:space="preserve">questo </w:t>
      </w:r>
      <w:r>
        <w:t xml:space="preserve">avviene? Quanti uffici comunali dedicati al rilascio delle autorizzazioni rispettano il disposto del comma 835 che vuole che il versamento del canone </w:t>
      </w:r>
      <w:r w:rsidR="003258A6">
        <w:t>sia</w:t>
      </w:r>
      <w:r>
        <w:t xml:space="preserve"> effettuato,</w:t>
      </w:r>
      <w:r w:rsidR="003258A6">
        <w:t xml:space="preserve"> </w:t>
      </w:r>
      <w:r>
        <w:t>direttamente agli enti, contestualmente</w:t>
      </w:r>
      <w:r w:rsidR="003258A6">
        <w:t xml:space="preserve"> </w:t>
      </w:r>
      <w:r>
        <w:t>al rilascio dell</w:t>
      </w:r>
      <w:r w:rsidR="00A81F89">
        <w:t xml:space="preserve">e </w:t>
      </w:r>
      <w:r>
        <w:t>autorizzazion</w:t>
      </w:r>
      <w:r w:rsidR="00A81F89">
        <w:t xml:space="preserve">i </w:t>
      </w:r>
      <w:r>
        <w:t>alla diffusione</w:t>
      </w:r>
      <w:r w:rsidR="003258A6">
        <w:t xml:space="preserve"> </w:t>
      </w:r>
      <w:r>
        <w:t>dei messaggi pubblicitari</w:t>
      </w:r>
      <w:r w:rsidR="003258A6">
        <w:t>? Quanti uffici amministrativi si preoccupano che negli anni successivi</w:t>
      </w:r>
      <w:r w:rsidR="00A81F89">
        <w:t xml:space="preserve"> al primo sia</w:t>
      </w:r>
      <w:r w:rsidR="003258A6">
        <w:t xml:space="preserve"> regolarmente versato il canone e che le richieste di versamento si interrompano alla scadenza, imponendo, prima di pagare</w:t>
      </w:r>
      <w:r w:rsidR="00A81F89">
        <w:t xml:space="preserve"> nuovamente</w:t>
      </w:r>
      <w:r w:rsidR="003258A6">
        <w:t xml:space="preserve">, il rinnovo del titolo autorizzatorio? </w:t>
      </w:r>
      <w:r w:rsidR="00F41057">
        <w:t xml:space="preserve">Ma soprattutto quante insegne insistono </w:t>
      </w:r>
      <w:r w:rsidR="00A81F89">
        <w:t xml:space="preserve">ancora </w:t>
      </w:r>
      <w:r w:rsidR="00F41057">
        <w:t>sul territorio senza la prescritta autorizzazione?</w:t>
      </w:r>
      <w:r w:rsidR="00A81F89">
        <w:t xml:space="preserve"> Quale destino per queste? Trattarle come abusive o continuare a gestirne l’entrata derivante come succedeva in regime di Imposta Comunale sulla Pubblicità?</w:t>
      </w:r>
    </w:p>
    <w:p w14:paraId="2832151B" w14:textId="7986D2F4" w:rsidR="003258A6" w:rsidRDefault="003258A6" w:rsidP="00E94299">
      <w:pPr>
        <w:jc w:val="both"/>
      </w:pPr>
      <w:r>
        <w:t>La gestione dell’entrata, per come è stata disciplinata dalla Legge 160/2019</w:t>
      </w:r>
      <w:r w:rsidR="00813650">
        <w:t xml:space="preserve">, oggi </w:t>
      </w:r>
      <w:r w:rsidR="00D363C0">
        <w:t>vedrebbe</w:t>
      </w:r>
      <w:r>
        <w:t xml:space="preserve"> un inevitabile spostamento di competenze, questo per </w:t>
      </w:r>
      <w:r w:rsidR="00813650">
        <w:t xml:space="preserve">quasi </w:t>
      </w:r>
      <w:r>
        <w:t>tutte le tipologie di esposizioni pubblicitarie e di occupazioni</w:t>
      </w:r>
      <w:r w:rsidR="00884F56">
        <w:t xml:space="preserve"> per le quali è richiesta la gestione dell’iter amministrativo, </w:t>
      </w:r>
      <w:r>
        <w:t>coinvolgendo</w:t>
      </w:r>
      <w:r w:rsidR="00D363C0">
        <w:t xml:space="preserve">, come detto, </w:t>
      </w:r>
      <w:r>
        <w:t xml:space="preserve"> settori diversi e </w:t>
      </w:r>
      <w:r w:rsidR="004616FE">
        <w:t>traslando</w:t>
      </w:r>
      <w:r w:rsidR="00813650">
        <w:t xml:space="preserve"> di fatto</w:t>
      </w:r>
      <w:r>
        <w:t xml:space="preserve"> </w:t>
      </w:r>
      <w:r w:rsidR="00813650">
        <w:t xml:space="preserve">il baricentro dell’entrata fuori dall’ufficio tributi, </w:t>
      </w:r>
      <w:r w:rsidR="00D363C0">
        <w:t>il quale</w:t>
      </w:r>
      <w:r w:rsidR="00813650">
        <w:t xml:space="preserve"> si </w:t>
      </w:r>
      <w:r w:rsidR="00D363C0">
        <w:t>ri</w:t>
      </w:r>
      <w:r w:rsidR="00813650">
        <w:t xml:space="preserve">troverà </w:t>
      </w:r>
      <w:r w:rsidR="004616FE">
        <w:t xml:space="preserve">inevitabilmente </w:t>
      </w:r>
      <w:r w:rsidR="00813650">
        <w:t xml:space="preserve">sempre più </w:t>
      </w:r>
      <w:r w:rsidR="00884F56">
        <w:t xml:space="preserve">isolato nel tentativo di </w:t>
      </w:r>
      <w:r w:rsidR="00813650">
        <w:t>mantenere in equilibrio</w:t>
      </w:r>
      <w:r w:rsidR="00884F56">
        <w:t xml:space="preserve"> </w:t>
      </w:r>
      <w:r w:rsidR="00D363C0">
        <w:t xml:space="preserve">un </w:t>
      </w:r>
      <w:r w:rsidR="00884F56">
        <w:t xml:space="preserve">entrata </w:t>
      </w:r>
      <w:r w:rsidR="00D363C0">
        <w:t>che non segue più le logiche tributarie</w:t>
      </w:r>
      <w:r w:rsidR="004616FE">
        <w:t>.</w:t>
      </w:r>
    </w:p>
    <w:p w14:paraId="4480122C" w14:textId="052E1569" w:rsidR="00D363C0" w:rsidRDefault="00D363C0" w:rsidP="00E94299">
      <w:pPr>
        <w:jc w:val="both"/>
      </w:pPr>
      <w:r>
        <w:t>Quest</w:t>
      </w:r>
      <w:r w:rsidR="00A200DD">
        <w:t>e</w:t>
      </w:r>
      <w:r>
        <w:t xml:space="preserve"> spaccatur</w:t>
      </w:r>
      <w:r w:rsidR="00A200DD">
        <w:t>e</w:t>
      </w:r>
      <w:r>
        <w:t xml:space="preserve">, che ritroviamo </w:t>
      </w:r>
      <w:r w:rsidR="00A200DD">
        <w:t>per</w:t>
      </w:r>
      <w:r>
        <w:t xml:space="preserve"> moltissime fattispecie, cartellonistica stradale, impianti di propaganda, pubblicità presso esercizi commerciali, insegne d’esercizio, ma anche passi carrabili, e occupazioni varie pensando anche alla componente legata all’occupazione di suolo pubblico, generano uno spostamento delle attività e delle responsabilità che fuoriescono dalla portata </w:t>
      </w:r>
      <w:r w:rsidR="00A200DD">
        <w:t xml:space="preserve">e dalle scelte </w:t>
      </w:r>
      <w:r>
        <w:t>dei servizi finanziari e dall’autonomia di chi è chiamato a gestire l’entrata che dovrà</w:t>
      </w:r>
      <w:r w:rsidR="00A200DD">
        <w:t>,</w:t>
      </w:r>
      <w:r>
        <w:t xml:space="preserve"> gioco forza</w:t>
      </w:r>
      <w:r w:rsidR="00A200DD">
        <w:t>,</w:t>
      </w:r>
      <w:r>
        <w:t xml:space="preserve"> rapportarsi con i colleghi deputati ad organizzare il lavoro amministrativo di gestione delle autorizzazioni e concessioni, secondo logiche e scelte non sempre coincidenti con le esigenze dell’ufficio entrate.</w:t>
      </w:r>
    </w:p>
    <w:p w14:paraId="27D49505" w14:textId="77777777" w:rsidR="00D363C0" w:rsidRDefault="00D363C0" w:rsidP="00E94299">
      <w:pPr>
        <w:jc w:val="both"/>
      </w:pPr>
    </w:p>
    <w:p w14:paraId="01CAF12D" w14:textId="3D19220C" w:rsidR="00274962" w:rsidRDefault="00271115" w:rsidP="00CF41BC">
      <w:pPr>
        <w:jc w:val="both"/>
      </w:pPr>
      <w:r>
        <w:t xml:space="preserve">  </w:t>
      </w:r>
    </w:p>
    <w:p w14:paraId="3A3E467E" w14:textId="77777777" w:rsidR="00274962" w:rsidRDefault="00274962" w:rsidP="00CF41BC">
      <w:pPr>
        <w:jc w:val="both"/>
      </w:pPr>
    </w:p>
    <w:sectPr w:rsidR="0027496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227"/>
    <w:rsid w:val="00092F88"/>
    <w:rsid w:val="00271115"/>
    <w:rsid w:val="00274962"/>
    <w:rsid w:val="00317227"/>
    <w:rsid w:val="003258A6"/>
    <w:rsid w:val="003277CD"/>
    <w:rsid w:val="003717EB"/>
    <w:rsid w:val="004616FE"/>
    <w:rsid w:val="00482485"/>
    <w:rsid w:val="00813650"/>
    <w:rsid w:val="00884F56"/>
    <w:rsid w:val="00A200DD"/>
    <w:rsid w:val="00A4243A"/>
    <w:rsid w:val="00A81F89"/>
    <w:rsid w:val="00B96649"/>
    <w:rsid w:val="00CB0E2C"/>
    <w:rsid w:val="00CF41BC"/>
    <w:rsid w:val="00D363C0"/>
    <w:rsid w:val="00E52501"/>
    <w:rsid w:val="00E94299"/>
    <w:rsid w:val="00EF6F1A"/>
    <w:rsid w:val="00F41057"/>
    <w:rsid w:val="00F804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A520"/>
  <w15:chartTrackingRefBased/>
  <w15:docId w15:val="{15C8F04B-5797-412C-AAC3-993424FAE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2</Pages>
  <Words>1070</Words>
  <Characters>6100</Characters>
  <Application>Microsoft Office Word</Application>
  <DocSecurity>0</DocSecurity>
  <Lines>50</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9</cp:revision>
  <dcterms:created xsi:type="dcterms:W3CDTF">2023-04-06T10:43:00Z</dcterms:created>
  <dcterms:modified xsi:type="dcterms:W3CDTF">2023-04-11T13:44:00Z</dcterms:modified>
</cp:coreProperties>
</file>