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8D0AE" w14:textId="00DAA437" w:rsidR="00060149" w:rsidRDefault="00E60D59">
      <w:r>
        <w:t>Titolo: l’attività di controllo sul Canone per</w:t>
      </w:r>
      <w:r w:rsidR="006C49C6">
        <w:t xml:space="preserve"> le occupazioni dei</w:t>
      </w:r>
      <w:r>
        <w:t xml:space="preserve"> servizi di rete</w:t>
      </w:r>
    </w:p>
    <w:p w14:paraId="20B76EBF" w14:textId="631DC968" w:rsidR="00E60D59" w:rsidRDefault="00E60D59" w:rsidP="00E60D59">
      <w:pPr>
        <w:jc w:val="both"/>
      </w:pPr>
      <w:r>
        <w:t xml:space="preserve">Ci stiamo avvicinando alla conclusione del terzo anno di gestione del Canone Unico Patrimoniale, </w:t>
      </w:r>
      <w:r w:rsidR="006C49C6">
        <w:t xml:space="preserve">l’entrata </w:t>
      </w:r>
      <w:r>
        <w:t>istituit</w:t>
      </w:r>
      <w:r w:rsidR="006C49C6">
        <w:t>a</w:t>
      </w:r>
      <w:r>
        <w:t xml:space="preserve"> a partire dal 2021 dalla Legge 160/2019 in sostituzione dei precedenti prelievi applicati </w:t>
      </w:r>
      <w:r w:rsidR="006C49C6">
        <w:t>al</w:t>
      </w:r>
      <w:r>
        <w:t xml:space="preserve">le diffusioni pubblicitarie e </w:t>
      </w:r>
      <w:r w:rsidR="006C49C6">
        <w:t>al</w:t>
      </w:r>
      <w:r>
        <w:t>le occupazioni di suolo pubblico</w:t>
      </w:r>
      <w:r w:rsidR="00B3164C">
        <w:t>, tuttavia vi sono questioni decisamente nebulose che non hanno</w:t>
      </w:r>
      <w:r w:rsidR="006C49C6">
        <w:t xml:space="preserve"> ancora</w:t>
      </w:r>
      <w:r w:rsidR="00B3164C">
        <w:t xml:space="preserve"> trovato chiarezza </w:t>
      </w:r>
      <w:r w:rsidR="00AA05F0">
        <w:t>applicativa</w:t>
      </w:r>
      <w:r w:rsidR="00B3164C">
        <w:t>.</w:t>
      </w:r>
    </w:p>
    <w:p w14:paraId="7043905D" w14:textId="25D62809" w:rsidR="00E60D59" w:rsidRDefault="00E60D59" w:rsidP="00E60D59">
      <w:pPr>
        <w:jc w:val="both"/>
      </w:pPr>
      <w:r>
        <w:t xml:space="preserve">Una </w:t>
      </w:r>
      <w:r w:rsidR="00B3164C">
        <w:t>di queste</w:t>
      </w:r>
      <w:r>
        <w:t xml:space="preserve"> riguarda la </w:t>
      </w:r>
      <w:r w:rsidR="00AA05F0">
        <w:t>disciplina</w:t>
      </w:r>
      <w:r>
        <w:t xml:space="preserve"> del comma 831 con il quale il Legislatore ha voluto </w:t>
      </w:r>
      <w:r w:rsidR="00AA05F0">
        <w:t>regolare</w:t>
      </w:r>
      <w:r>
        <w:t xml:space="preserve"> le occupazioni permanenti realizzate dalle aziende che erogano i servizi pubblici. </w:t>
      </w:r>
      <w:r w:rsidR="00745B2D">
        <w:t>Diciamo subito che non ci attendiamo in tempi rapidi di assistere ad una soluzione per questa problematica</w:t>
      </w:r>
      <w:r w:rsidR="00B3164C">
        <w:t>, anche</w:t>
      </w:r>
      <w:r w:rsidR="00745B2D">
        <w:t xml:space="preserve"> in considerazione del fatto che</w:t>
      </w:r>
      <w:r w:rsidR="00B3164C">
        <w:t xml:space="preserve"> </w:t>
      </w:r>
      <w:r>
        <w:t>la bozza di decreto delega fiscale</w:t>
      </w:r>
      <w:r w:rsidR="00D33B8D">
        <w:t xml:space="preserve"> con la quale si intende portare </w:t>
      </w:r>
      <w:r w:rsidR="00745B2D">
        <w:t>alcuni</w:t>
      </w:r>
      <w:r w:rsidR="00D33B8D">
        <w:t xml:space="preserve"> correttivi alla norma CUP,</w:t>
      </w:r>
      <w:r>
        <w:t xml:space="preserve"> pare non prevedere </w:t>
      </w:r>
      <w:r w:rsidR="00745B2D">
        <w:t>nulla in merito</w:t>
      </w:r>
      <w:r>
        <w:t xml:space="preserve"> a questa speciale disciplina che</w:t>
      </w:r>
      <w:r w:rsidR="00FA0C93">
        <w:t>,</w:t>
      </w:r>
      <w:r>
        <w:t xml:space="preserve"> in passato</w:t>
      </w:r>
      <w:r w:rsidR="00FA0C93">
        <w:t>,</w:t>
      </w:r>
      <w:r>
        <w:t xml:space="preserve"> ha già </w:t>
      </w:r>
      <w:r w:rsidR="00D33B8D">
        <w:t>registrato</w:t>
      </w:r>
      <w:r w:rsidR="00FA0C93">
        <w:t xml:space="preserve"> sia </w:t>
      </w:r>
      <w:r w:rsidR="00D33B8D">
        <w:t xml:space="preserve">una modifica del </w:t>
      </w:r>
      <w:r w:rsidR="006F46F6">
        <w:t>testo ancor</w:t>
      </w:r>
      <w:r>
        <w:t xml:space="preserve"> prima della sua entrata in vigore, </w:t>
      </w:r>
      <w:r w:rsidR="00FA0C93">
        <w:t>sia la pubblicazione di</w:t>
      </w:r>
      <w:r>
        <w:t xml:space="preserve"> una norma di interpretazione autentica</w:t>
      </w:r>
      <w:r w:rsidR="00D33B8D">
        <w:t xml:space="preserve">. Entrambi gli interventi </w:t>
      </w:r>
      <w:r w:rsidR="008F3F42">
        <w:t>purtroppo</w:t>
      </w:r>
      <w:r w:rsidR="00FA0C93">
        <w:t xml:space="preserve"> non sono serviti, anzi ritengo abbiano</w:t>
      </w:r>
      <w:r>
        <w:t xml:space="preserve"> contribuito a complicare la gestione e</w:t>
      </w:r>
      <w:r w:rsidR="00D33B8D">
        <w:t xml:space="preserve"> rendere meno chiara</w:t>
      </w:r>
      <w:r>
        <w:t xml:space="preserve"> l’interpretazione del </w:t>
      </w:r>
      <w:r w:rsidR="00FA0C93">
        <w:t xml:space="preserve">corretto </w:t>
      </w:r>
      <w:r>
        <w:t>criterio di calcolo</w:t>
      </w:r>
      <w:r w:rsidR="00FA0C93">
        <w:t xml:space="preserve"> da applicare</w:t>
      </w:r>
      <w:r>
        <w:t>.</w:t>
      </w:r>
    </w:p>
    <w:p w14:paraId="7555B472" w14:textId="46CFFE92" w:rsidR="00B3164C" w:rsidRPr="00D33B8D" w:rsidRDefault="00D33B8D" w:rsidP="00D33B8D">
      <w:pPr>
        <w:jc w:val="both"/>
      </w:pPr>
      <w:r>
        <w:t>Con la modifica del comma</w:t>
      </w:r>
      <w:r w:rsidR="008F3F42">
        <w:t xml:space="preserve">, </w:t>
      </w:r>
      <w:r w:rsidR="00702C3B">
        <w:t xml:space="preserve">emendato con il </w:t>
      </w:r>
      <w:r w:rsidR="00702C3B" w:rsidRPr="00702C3B">
        <w:t>comma 848 dell’articolo 1 della Legge 178/2020</w:t>
      </w:r>
      <w:r w:rsidR="00702C3B">
        <w:t>,</w:t>
      </w:r>
      <w:r w:rsidR="00702C3B" w:rsidRPr="00702C3B">
        <w:t xml:space="preserve"> </w:t>
      </w:r>
      <w:r>
        <w:t xml:space="preserve">si è infatti introdotta la </w:t>
      </w:r>
      <w:r>
        <w:rPr>
          <w:iCs/>
        </w:rPr>
        <w:t xml:space="preserve">soggettività passiva in via mediata, che si forma </w:t>
      </w:r>
      <w:r w:rsidR="00FA0C93">
        <w:rPr>
          <w:iCs/>
        </w:rPr>
        <w:t xml:space="preserve">sostanzialmente </w:t>
      </w:r>
      <w:r>
        <w:rPr>
          <w:iCs/>
        </w:rPr>
        <w:t xml:space="preserve">quando </w:t>
      </w:r>
      <w:r w:rsidR="00FA0C93">
        <w:rPr>
          <w:iCs/>
        </w:rPr>
        <w:t>le</w:t>
      </w:r>
      <w:r>
        <w:rPr>
          <w:iCs/>
        </w:rPr>
        <w:t xml:space="preserve"> aziende che erogano pubblici servizi utilizzano infrastrutture e reti di proprietà</w:t>
      </w:r>
      <w:r w:rsidR="00FA0C93">
        <w:rPr>
          <w:iCs/>
        </w:rPr>
        <w:t>, o in concessione,</w:t>
      </w:r>
      <w:r>
        <w:rPr>
          <w:iCs/>
        </w:rPr>
        <w:t xml:space="preserve"> di altri soggetti, mentre con la norma di interpretazione autentica</w:t>
      </w:r>
      <w:r w:rsidR="00702C3B">
        <w:rPr>
          <w:iCs/>
        </w:rPr>
        <w:t xml:space="preserve">, introdotta con la </w:t>
      </w:r>
      <w:r w:rsidR="00702C3B" w:rsidRPr="00702C3B">
        <w:rPr>
          <w:iCs/>
        </w:rPr>
        <w:t>Legge 215/2021 art. 14-quinquies di conversione del DL 146/2021</w:t>
      </w:r>
      <w:r w:rsidR="00702C3B">
        <w:rPr>
          <w:iCs/>
        </w:rPr>
        <w:t>,</w:t>
      </w:r>
      <w:r>
        <w:rPr>
          <w:iCs/>
        </w:rPr>
        <w:t xml:space="preserve"> si è descritta la corretta modalità di calcolo</w:t>
      </w:r>
      <w:r w:rsidR="00B3164C">
        <w:rPr>
          <w:iCs/>
        </w:rPr>
        <w:t xml:space="preserve"> laddove sia prevista una separazione tra i soggetti titolari delle infrastrutture e i soggetti titolari del contratto di vendita del bene distribuito alla clientela finale. </w:t>
      </w:r>
    </w:p>
    <w:p w14:paraId="1589398B" w14:textId="1F181C8F" w:rsidR="00E60D59" w:rsidRDefault="00D33B8D" w:rsidP="00E60D59">
      <w:pPr>
        <w:jc w:val="both"/>
        <w:rPr>
          <w:iCs/>
        </w:rPr>
      </w:pPr>
      <w:r>
        <w:rPr>
          <w:iCs/>
        </w:rPr>
        <w:t xml:space="preserve">Una </w:t>
      </w:r>
      <w:r w:rsidR="00882C29">
        <w:rPr>
          <w:iCs/>
        </w:rPr>
        <w:t>complessa</w:t>
      </w:r>
      <w:r w:rsidR="006F46F6">
        <w:rPr>
          <w:iCs/>
        </w:rPr>
        <w:t xml:space="preserve"> situazione che si somma alle</w:t>
      </w:r>
      <w:r w:rsidR="009807DF">
        <w:rPr>
          <w:iCs/>
        </w:rPr>
        <w:t xml:space="preserve"> numerose</w:t>
      </w:r>
      <w:r w:rsidR="006F46F6">
        <w:rPr>
          <w:iCs/>
        </w:rPr>
        <w:t xml:space="preserve"> difficoltà insite per queste particolari occupazioni, caratterizzate da un criterio di calcolo del canone basato, non su un elemento certo quale la misura espressa in metri quadrati</w:t>
      </w:r>
      <w:r w:rsidR="00B07135">
        <w:rPr>
          <w:iCs/>
        </w:rPr>
        <w:t xml:space="preserve"> dell’occupazione</w:t>
      </w:r>
      <w:r w:rsidR="006F46F6">
        <w:rPr>
          <w:iCs/>
        </w:rPr>
        <w:t>, ma bensì su un calcolo forfetario ad utenza servita, che impedisce, o quanto meno rende molto difficile, l’attività di verifica e controllo da parte degli enti territoriali beneficiari del gettito.</w:t>
      </w:r>
      <w:r w:rsidR="00A368C3">
        <w:rPr>
          <w:iCs/>
        </w:rPr>
        <w:t xml:space="preserve"> Caratteristica che rende assolutamente unica questa tipologia di occupazione, di fatto invisibile, che corre nel nostro sottosuolo. Per questo mi piace pensare al Canone per i servizi di rete come una entrata autonoma, di fatto separata da tutto le altre attratte nel presupposto. </w:t>
      </w:r>
    </w:p>
    <w:p w14:paraId="0534BC5E" w14:textId="22F52FEF" w:rsidR="003A63FF" w:rsidRDefault="006F46F6" w:rsidP="00E60D59">
      <w:pPr>
        <w:jc w:val="both"/>
        <w:rPr>
          <w:iCs/>
        </w:rPr>
      </w:pPr>
      <w:r>
        <w:rPr>
          <w:iCs/>
        </w:rPr>
        <w:t>Con questo approfondimento cerch</w:t>
      </w:r>
      <w:r w:rsidR="00B07135">
        <w:rPr>
          <w:iCs/>
        </w:rPr>
        <w:t>ere</w:t>
      </w:r>
      <w:r>
        <w:rPr>
          <w:iCs/>
        </w:rPr>
        <w:t>mo</w:t>
      </w:r>
      <w:r w:rsidR="00A368C3">
        <w:rPr>
          <w:iCs/>
        </w:rPr>
        <w:t xml:space="preserve"> così</w:t>
      </w:r>
      <w:r>
        <w:rPr>
          <w:iCs/>
        </w:rPr>
        <w:t xml:space="preserve"> di </w:t>
      </w:r>
      <w:r w:rsidR="00B07135">
        <w:rPr>
          <w:iCs/>
        </w:rPr>
        <w:t>fornire</w:t>
      </w:r>
      <w:r w:rsidR="00A368C3">
        <w:rPr>
          <w:iCs/>
        </w:rPr>
        <w:t>,</w:t>
      </w:r>
      <w:r>
        <w:rPr>
          <w:iCs/>
        </w:rPr>
        <w:t xml:space="preserve"> </w:t>
      </w:r>
      <w:r w:rsidR="00A368C3">
        <w:rPr>
          <w:iCs/>
        </w:rPr>
        <w:t xml:space="preserve">agli uffici deputati alla gestione del CUP, </w:t>
      </w:r>
      <w:r w:rsidR="006F0385">
        <w:rPr>
          <w:iCs/>
        </w:rPr>
        <w:t>un metodo di approccio utile</w:t>
      </w:r>
      <w:r w:rsidR="00B07135">
        <w:rPr>
          <w:iCs/>
        </w:rPr>
        <w:t xml:space="preserve"> all’attività di </w:t>
      </w:r>
      <w:r>
        <w:rPr>
          <w:iCs/>
        </w:rPr>
        <w:t>controll</w:t>
      </w:r>
      <w:r w:rsidR="00B07135">
        <w:rPr>
          <w:iCs/>
        </w:rPr>
        <w:t>o</w:t>
      </w:r>
      <w:r>
        <w:rPr>
          <w:iCs/>
        </w:rPr>
        <w:t xml:space="preserve"> e verific</w:t>
      </w:r>
      <w:r w:rsidR="00B07135">
        <w:rPr>
          <w:iCs/>
        </w:rPr>
        <w:t>a</w:t>
      </w:r>
      <w:r>
        <w:rPr>
          <w:iCs/>
        </w:rPr>
        <w:t xml:space="preserve"> </w:t>
      </w:r>
      <w:r w:rsidR="00B07135">
        <w:rPr>
          <w:iCs/>
        </w:rPr>
        <w:t>sui</w:t>
      </w:r>
      <w:r>
        <w:rPr>
          <w:iCs/>
        </w:rPr>
        <w:t xml:space="preserve"> i diversi servizi di rete che interessano </w:t>
      </w:r>
      <w:r w:rsidR="00B07135">
        <w:rPr>
          <w:iCs/>
        </w:rPr>
        <w:t xml:space="preserve">immobili condotti </w:t>
      </w:r>
      <w:r>
        <w:rPr>
          <w:iCs/>
        </w:rPr>
        <w:t>nel</w:t>
      </w:r>
      <w:r w:rsidR="00A368C3">
        <w:rPr>
          <w:iCs/>
        </w:rPr>
        <w:t xml:space="preserve"> proprio</w:t>
      </w:r>
      <w:r>
        <w:rPr>
          <w:iCs/>
        </w:rPr>
        <w:t xml:space="preserve"> territorio</w:t>
      </w:r>
      <w:r w:rsidR="00A368C3">
        <w:rPr>
          <w:iCs/>
        </w:rPr>
        <w:t xml:space="preserve"> di competenza.</w:t>
      </w:r>
    </w:p>
    <w:p w14:paraId="0D79003C" w14:textId="7A17F4FD" w:rsidR="003A63FF" w:rsidRDefault="003A63FF" w:rsidP="00E60D59">
      <w:pPr>
        <w:jc w:val="both"/>
        <w:rPr>
          <w:iCs/>
        </w:rPr>
      </w:pPr>
      <w:r>
        <w:rPr>
          <w:iCs/>
        </w:rPr>
        <w:t xml:space="preserve">Un’operazione </w:t>
      </w:r>
      <w:r w:rsidR="008C59AC">
        <w:rPr>
          <w:iCs/>
        </w:rPr>
        <w:t xml:space="preserve">indubbiamente </w:t>
      </w:r>
      <w:r>
        <w:rPr>
          <w:iCs/>
        </w:rPr>
        <w:t>faticosa da attivare</w:t>
      </w:r>
      <w:r w:rsidR="008C59AC">
        <w:rPr>
          <w:iCs/>
        </w:rPr>
        <w:t xml:space="preserve"> per gli uffici tributi degli enti locali</w:t>
      </w:r>
      <w:r>
        <w:rPr>
          <w:iCs/>
        </w:rPr>
        <w:t>, che potrà tuttavia portare sorprese e grandi benefici, sia in merito alla regolarizzazione delle annualità trascorse, sia nel</w:t>
      </w:r>
      <w:r w:rsidR="006F0385">
        <w:rPr>
          <w:iCs/>
        </w:rPr>
        <w:t xml:space="preserve">l’organizzare </w:t>
      </w:r>
      <w:r>
        <w:rPr>
          <w:iCs/>
        </w:rPr>
        <w:t xml:space="preserve">a regime una serie di controlli volti a garantire una </w:t>
      </w:r>
      <w:r w:rsidR="006F0385">
        <w:rPr>
          <w:iCs/>
        </w:rPr>
        <w:t>corretta</w:t>
      </w:r>
      <w:r>
        <w:rPr>
          <w:iCs/>
        </w:rPr>
        <w:t xml:space="preserve"> applicazione dell’entrata</w:t>
      </w:r>
      <w:r w:rsidR="008C59AC">
        <w:rPr>
          <w:iCs/>
        </w:rPr>
        <w:t xml:space="preserve"> pro futuro</w:t>
      </w:r>
      <w:r>
        <w:rPr>
          <w:iCs/>
        </w:rPr>
        <w:t>.</w:t>
      </w:r>
    </w:p>
    <w:p w14:paraId="40EB0F5F" w14:textId="041E8AAB" w:rsidR="00DB1C60" w:rsidRDefault="00DB1C60" w:rsidP="00E60D59">
      <w:pPr>
        <w:jc w:val="both"/>
        <w:rPr>
          <w:iCs/>
        </w:rPr>
      </w:pPr>
      <w:r>
        <w:rPr>
          <w:iCs/>
        </w:rPr>
        <w:t>È importante</w:t>
      </w:r>
      <w:r w:rsidR="00A82FDF">
        <w:rPr>
          <w:iCs/>
        </w:rPr>
        <w:t xml:space="preserve"> </w:t>
      </w:r>
      <w:r>
        <w:rPr>
          <w:iCs/>
        </w:rPr>
        <w:t>indagare anche le annualità trascorse e questo non riguarderà solo le annualità 2021, 2022 e 2023 in regime CUP, ma dovremo retroagire anche analizzando le annualità precedenti, analizzando le dichiarazioni</w:t>
      </w:r>
      <w:r w:rsidR="00A82FDF">
        <w:rPr>
          <w:iCs/>
        </w:rPr>
        <w:t>,</w:t>
      </w:r>
      <w:r>
        <w:rPr>
          <w:iCs/>
        </w:rPr>
        <w:t xml:space="preserve"> almeno </w:t>
      </w:r>
      <w:r w:rsidR="00A82FDF">
        <w:rPr>
          <w:iCs/>
        </w:rPr>
        <w:t xml:space="preserve">a partire </w:t>
      </w:r>
      <w:r>
        <w:rPr>
          <w:iCs/>
        </w:rPr>
        <w:t xml:space="preserve">dal 2018, gestite con i precedenti prelievi Tosap o Cosap, quando la specifica disciplina era fissata all’articolo 63 comma 2 del D.Lgs 446/97. </w:t>
      </w:r>
    </w:p>
    <w:p w14:paraId="1EE02C37" w14:textId="509824D6" w:rsidR="003A63FF" w:rsidRDefault="00DB1C60" w:rsidP="00E60D59">
      <w:pPr>
        <w:jc w:val="both"/>
        <w:rPr>
          <w:iCs/>
        </w:rPr>
      </w:pPr>
      <w:r>
        <w:rPr>
          <w:iCs/>
        </w:rPr>
        <w:t xml:space="preserve">Volendo </w:t>
      </w:r>
      <w:r w:rsidR="003A63FF">
        <w:rPr>
          <w:iCs/>
        </w:rPr>
        <w:t xml:space="preserve">organizzare questa </w:t>
      </w:r>
      <w:r w:rsidR="00A82FDF">
        <w:rPr>
          <w:iCs/>
        </w:rPr>
        <w:t xml:space="preserve">speciale </w:t>
      </w:r>
      <w:r w:rsidR="003A63FF">
        <w:rPr>
          <w:iCs/>
        </w:rPr>
        <w:t>attività</w:t>
      </w:r>
      <w:r>
        <w:rPr>
          <w:iCs/>
        </w:rPr>
        <w:t xml:space="preserve"> entro fine anno,</w:t>
      </w:r>
      <w:r w:rsidR="003A63FF">
        <w:rPr>
          <w:iCs/>
        </w:rPr>
        <w:t xml:space="preserve"> </w:t>
      </w:r>
      <w:r w:rsidR="006F0385">
        <w:rPr>
          <w:iCs/>
        </w:rPr>
        <w:t xml:space="preserve">dedicandole alcune ore di lavoro, </w:t>
      </w:r>
      <w:r w:rsidR="003A63FF">
        <w:rPr>
          <w:iCs/>
        </w:rPr>
        <w:t xml:space="preserve">occorre prepararci innanzi tutto </w:t>
      </w:r>
      <w:r w:rsidR="00A82FDF">
        <w:rPr>
          <w:iCs/>
        </w:rPr>
        <w:t>a</w:t>
      </w:r>
      <w:r w:rsidR="008C59AC">
        <w:rPr>
          <w:iCs/>
        </w:rPr>
        <w:t xml:space="preserve"> </w:t>
      </w:r>
      <w:r w:rsidR="003A63FF">
        <w:rPr>
          <w:iCs/>
        </w:rPr>
        <w:t>rispondere ai seguenti interrogativi:</w:t>
      </w:r>
    </w:p>
    <w:p w14:paraId="1D4504F1" w14:textId="210CC1D4" w:rsidR="003A63FF" w:rsidRDefault="003A63FF" w:rsidP="003A63FF">
      <w:pPr>
        <w:jc w:val="both"/>
        <w:rPr>
          <w:iCs/>
        </w:rPr>
      </w:pPr>
      <w:r>
        <w:rPr>
          <w:iCs/>
        </w:rPr>
        <w:t>1. Q</w:t>
      </w:r>
      <w:r w:rsidR="006F46F6" w:rsidRPr="003A63FF">
        <w:rPr>
          <w:iCs/>
        </w:rPr>
        <w:t>uali servizi di rete vengono erogati</w:t>
      </w:r>
      <w:r>
        <w:rPr>
          <w:iCs/>
        </w:rPr>
        <w:t xml:space="preserve"> nel nostro territorio di competenza?</w:t>
      </w:r>
      <w:r w:rsidR="006F46F6" w:rsidRPr="003A63FF">
        <w:rPr>
          <w:iCs/>
        </w:rPr>
        <w:t xml:space="preserve"> </w:t>
      </w:r>
    </w:p>
    <w:p w14:paraId="5112B09E" w14:textId="40345E68" w:rsidR="003A63FF" w:rsidRDefault="003A63FF" w:rsidP="003A63FF">
      <w:pPr>
        <w:jc w:val="both"/>
        <w:rPr>
          <w:iCs/>
        </w:rPr>
      </w:pPr>
      <w:r>
        <w:rPr>
          <w:iCs/>
        </w:rPr>
        <w:t>2. Q</w:t>
      </w:r>
      <w:r w:rsidR="006F46F6" w:rsidRPr="003A63FF">
        <w:rPr>
          <w:iCs/>
        </w:rPr>
        <w:t xml:space="preserve">uali aziende </w:t>
      </w:r>
      <w:r w:rsidR="006F0385">
        <w:rPr>
          <w:iCs/>
        </w:rPr>
        <w:t xml:space="preserve">sono coinvolte e quali </w:t>
      </w:r>
      <w:r w:rsidR="006F46F6" w:rsidRPr="003A63FF">
        <w:rPr>
          <w:iCs/>
        </w:rPr>
        <w:t xml:space="preserve">stanno dichiarando </w:t>
      </w:r>
      <w:r w:rsidR="006F0385">
        <w:rPr>
          <w:iCs/>
        </w:rPr>
        <w:t xml:space="preserve">le utenze </w:t>
      </w:r>
      <w:r w:rsidRPr="003A63FF">
        <w:rPr>
          <w:iCs/>
        </w:rPr>
        <w:t>ai fini del pagamento del canone</w:t>
      </w:r>
      <w:r>
        <w:rPr>
          <w:iCs/>
        </w:rPr>
        <w:t>?</w:t>
      </w:r>
    </w:p>
    <w:p w14:paraId="02D2A49C" w14:textId="007F00BD" w:rsidR="003A63FF" w:rsidRDefault="003A63FF" w:rsidP="003A63FF">
      <w:pPr>
        <w:jc w:val="both"/>
        <w:rPr>
          <w:iCs/>
        </w:rPr>
      </w:pPr>
      <w:r>
        <w:rPr>
          <w:iCs/>
        </w:rPr>
        <w:t>3.</w:t>
      </w:r>
      <w:r w:rsidRPr="003A63FF">
        <w:rPr>
          <w:iCs/>
        </w:rPr>
        <w:t xml:space="preserve"> </w:t>
      </w:r>
      <w:r>
        <w:rPr>
          <w:iCs/>
        </w:rPr>
        <w:t>I</w:t>
      </w:r>
      <w:r w:rsidRPr="003A63FF">
        <w:rPr>
          <w:iCs/>
        </w:rPr>
        <w:t xml:space="preserve">n che misura </w:t>
      </w:r>
      <w:r w:rsidR="00DB1C60">
        <w:rPr>
          <w:iCs/>
        </w:rPr>
        <w:t xml:space="preserve">hanno </w:t>
      </w:r>
      <w:r>
        <w:rPr>
          <w:iCs/>
        </w:rPr>
        <w:t>dichiara</w:t>
      </w:r>
      <w:r w:rsidR="00DB1C60">
        <w:rPr>
          <w:iCs/>
        </w:rPr>
        <w:t>to</w:t>
      </w:r>
      <w:r>
        <w:rPr>
          <w:iCs/>
        </w:rPr>
        <w:t xml:space="preserve"> e versa</w:t>
      </w:r>
      <w:r w:rsidR="00DB1C60">
        <w:rPr>
          <w:iCs/>
        </w:rPr>
        <w:t>to</w:t>
      </w:r>
      <w:r>
        <w:rPr>
          <w:iCs/>
        </w:rPr>
        <w:t xml:space="preserve"> </w:t>
      </w:r>
      <w:r w:rsidR="00A82FDF">
        <w:rPr>
          <w:iCs/>
        </w:rPr>
        <w:t xml:space="preserve">l’entrata dedicata alle occupazioni </w:t>
      </w:r>
      <w:r w:rsidR="00DB1C60">
        <w:rPr>
          <w:iCs/>
        </w:rPr>
        <w:t>dal 2018 al 2023</w:t>
      </w:r>
      <w:r>
        <w:rPr>
          <w:iCs/>
        </w:rPr>
        <w:t>?</w:t>
      </w:r>
    </w:p>
    <w:p w14:paraId="4EEC038A" w14:textId="6BA3C798" w:rsidR="00BD3F21" w:rsidRDefault="003A63FF" w:rsidP="003A63FF">
      <w:pPr>
        <w:jc w:val="both"/>
        <w:rPr>
          <w:iCs/>
        </w:rPr>
      </w:pPr>
      <w:r>
        <w:rPr>
          <w:iCs/>
        </w:rPr>
        <w:lastRenderedPageBreak/>
        <w:t>4. Q</w:t>
      </w:r>
      <w:r w:rsidRPr="003A63FF">
        <w:rPr>
          <w:iCs/>
        </w:rPr>
        <w:t>uali criteri di interpretazione della norma</w:t>
      </w:r>
      <w:r>
        <w:rPr>
          <w:iCs/>
        </w:rPr>
        <w:t xml:space="preserve"> hanno utilizzato per </w:t>
      </w:r>
      <w:r w:rsidR="00A82FDF">
        <w:rPr>
          <w:iCs/>
        </w:rPr>
        <w:t xml:space="preserve">arrivare al </w:t>
      </w:r>
      <w:r>
        <w:rPr>
          <w:iCs/>
        </w:rPr>
        <w:t>calcol</w:t>
      </w:r>
      <w:r w:rsidR="00A82FDF">
        <w:rPr>
          <w:iCs/>
        </w:rPr>
        <w:t>o</w:t>
      </w:r>
      <w:r>
        <w:rPr>
          <w:iCs/>
        </w:rPr>
        <w:t xml:space="preserve"> il </w:t>
      </w:r>
      <w:r w:rsidR="00262F9A">
        <w:rPr>
          <w:iCs/>
        </w:rPr>
        <w:t>dovuto</w:t>
      </w:r>
      <w:r>
        <w:rPr>
          <w:iCs/>
        </w:rPr>
        <w:t>?</w:t>
      </w:r>
    </w:p>
    <w:p w14:paraId="59E5F362" w14:textId="77777777" w:rsidR="00BD3F21" w:rsidRDefault="00BD3F21" w:rsidP="003A63FF">
      <w:pPr>
        <w:jc w:val="both"/>
        <w:rPr>
          <w:iCs/>
        </w:rPr>
      </w:pPr>
      <w:r>
        <w:rPr>
          <w:iCs/>
        </w:rPr>
        <w:t xml:space="preserve">La ricerca delle quattro risposte rappresenta la soluzione che porterà a conoscere la realtà di questo speciale canone nell’ambito del nostro territorio. Oggi la maggior parte degli Enti locali sta subendo passivamente le scelte, consapevoli o meno, delle diverse aziende che erogano pubblici servizi. Accetteremmo la stessa situazione ad esempio per le occupazioni realizzate con tavoli e sedie da parte dei pubblici esercizi? Certamente no. </w:t>
      </w:r>
    </w:p>
    <w:p w14:paraId="2BE3B9AC" w14:textId="55B70852" w:rsidR="00BD3F21" w:rsidRPr="00BD3F21" w:rsidRDefault="00BD3F21" w:rsidP="003A63FF">
      <w:pPr>
        <w:jc w:val="both"/>
        <w:rPr>
          <w:iCs/>
        </w:rPr>
      </w:pPr>
      <w:r>
        <w:rPr>
          <w:iCs/>
        </w:rPr>
        <w:t xml:space="preserve">Proviamo allora a fornire informazioni utili e uno schema riepilogativo da compilare per provare a impadronirsi della situazione legata alla corretta liquidazione di questo speciale canone. </w:t>
      </w:r>
    </w:p>
    <w:p w14:paraId="24671AC7" w14:textId="348917AB" w:rsidR="00E60D59" w:rsidRDefault="00A82FDF" w:rsidP="00E43792">
      <w:pPr>
        <w:jc w:val="both"/>
        <w:rPr>
          <w:i/>
          <w:iCs/>
        </w:rPr>
      </w:pPr>
      <w:r>
        <w:t xml:space="preserve">Per rispondere al primo quesito, partiamo dal testo normativo. </w:t>
      </w:r>
      <w:r w:rsidR="008C59AC">
        <w:t xml:space="preserve">Il comma 831 propone </w:t>
      </w:r>
      <w:r>
        <w:t xml:space="preserve">infatti </w:t>
      </w:r>
      <w:r w:rsidR="008C59AC">
        <w:t xml:space="preserve">già </w:t>
      </w:r>
      <w:r w:rsidR="00E43792">
        <w:t>un elenco non esaustivo dei</w:t>
      </w:r>
      <w:r w:rsidR="008C59AC">
        <w:t xml:space="preserve"> servizi di rete. Il Legislatore infatti scrive: </w:t>
      </w:r>
      <w:r w:rsidR="008C59AC" w:rsidRPr="00E43792">
        <w:rPr>
          <w:i/>
          <w:iCs/>
        </w:rPr>
        <w:t>“</w:t>
      </w:r>
      <w:r w:rsidR="00E43792" w:rsidRPr="00E43792">
        <w:rPr>
          <w:i/>
          <w:iCs/>
        </w:rPr>
        <w:t xml:space="preserve">Per le occupazioni permanenti del territorio comunale, con cavi e condutture, da chiunque effettuata per la fornitura di servizi di pubblica utilità, quali la distribuzione ed erogazione di energia elettrica, </w:t>
      </w:r>
      <w:r w:rsidRPr="00E43792">
        <w:rPr>
          <w:i/>
          <w:iCs/>
        </w:rPr>
        <w:t>gas, acqua, calore, servizi di telecomunicazione</w:t>
      </w:r>
      <w:r w:rsidR="00E43792" w:rsidRPr="00E43792">
        <w:rPr>
          <w:i/>
          <w:iCs/>
        </w:rPr>
        <w:t xml:space="preserve">   e radiotelevisivi e di altri servizi a rete…</w:t>
      </w:r>
      <w:r w:rsidR="00E43792">
        <w:rPr>
          <w:i/>
          <w:iCs/>
        </w:rPr>
        <w:t>”</w:t>
      </w:r>
      <w:r w:rsidR="00E43792" w:rsidRPr="00E43792">
        <w:rPr>
          <w:i/>
          <w:iCs/>
        </w:rPr>
        <w:t xml:space="preserve"> </w:t>
      </w:r>
    </w:p>
    <w:p w14:paraId="089082A2" w14:textId="6CA050C1" w:rsidR="00250966" w:rsidRDefault="00E43792" w:rsidP="00E43792">
      <w:pPr>
        <w:jc w:val="both"/>
      </w:pPr>
      <w:r>
        <w:t>Dovremo quindi porre</w:t>
      </w:r>
      <w:r w:rsidR="00A82FDF">
        <w:t xml:space="preserve"> la nostra </w:t>
      </w:r>
      <w:r>
        <w:t xml:space="preserve">attenzione sull’erogazione dei seguenti servizi di rete: Energia </w:t>
      </w:r>
      <w:r w:rsidR="00250966">
        <w:t>e</w:t>
      </w:r>
      <w:r>
        <w:t>lettrica, Gas, Acqua</w:t>
      </w:r>
      <w:r w:rsidR="00250966">
        <w:t>, Fognatura o Acque reflue, Fibra ottica, Telefonia fissa e ADSL, Illuminazione pubblica, trasmissione Energia elettrica, Teleriscaldamento</w:t>
      </w:r>
      <w:r w:rsidR="00A82FDF">
        <w:t>, servizio radiotelevisivi (via cavo) ove esistenti</w:t>
      </w:r>
      <w:r w:rsidR="00250966">
        <w:t>.</w:t>
      </w:r>
    </w:p>
    <w:p w14:paraId="1747ED47" w14:textId="15389C76" w:rsidR="00A82FDF" w:rsidRDefault="00A82FDF" w:rsidP="00E43792">
      <w:pPr>
        <w:jc w:val="both"/>
      </w:pPr>
      <w:r>
        <w:t xml:space="preserve">Dopodiché servirà capire quali aziende sono </w:t>
      </w:r>
      <w:r w:rsidR="009807DF">
        <w:t>coinvolte nel nostro comune</w:t>
      </w:r>
      <w:r>
        <w:t xml:space="preserve"> all’erogazione dei servizi</w:t>
      </w:r>
      <w:r w:rsidR="009807DF">
        <w:t>, e in particolare</w:t>
      </w:r>
      <w:r>
        <w:t xml:space="preserve">, </w:t>
      </w:r>
      <w:r w:rsidR="009807DF">
        <w:t xml:space="preserve">a seconda della </w:t>
      </w:r>
      <w:r>
        <w:t xml:space="preserve">tipologia di servizio, </w:t>
      </w:r>
      <w:r w:rsidR="009807DF">
        <w:t xml:space="preserve">individuare </w:t>
      </w:r>
      <w:r>
        <w:t>quali</w:t>
      </w:r>
      <w:r w:rsidR="00166909">
        <w:t xml:space="preserve"> società</w:t>
      </w:r>
      <w:r>
        <w:t xml:space="preserve"> ritenere soggetti passivi.</w:t>
      </w:r>
      <w:r w:rsidR="00166909">
        <w:t xml:space="preserve"> </w:t>
      </w:r>
      <w:r w:rsidR="009807DF">
        <w:t xml:space="preserve">Attività che comporta una conoscenza specifica sulla disciplina del comma 831 compresi i </w:t>
      </w:r>
      <w:r w:rsidR="00166909">
        <w:t>diversi interventi normativi</w:t>
      </w:r>
      <w:r w:rsidR="009807DF">
        <w:t xml:space="preserve"> intervenuti</w:t>
      </w:r>
      <w:r w:rsidR="00166909">
        <w:t>.</w:t>
      </w:r>
    </w:p>
    <w:p w14:paraId="1D1B5D43" w14:textId="16CD9D55" w:rsidR="00AF6EC0" w:rsidRDefault="009807DF" w:rsidP="00AF6EC0">
      <w:pPr>
        <w:jc w:val="both"/>
      </w:pPr>
      <w:r>
        <w:t>P</w:t>
      </w:r>
      <w:r w:rsidR="00AF6EC0">
        <w:t xml:space="preserve">er i servizi di erogazione </w:t>
      </w:r>
      <w:r w:rsidR="00AF6EC0" w:rsidRPr="00AF6EC0">
        <w:rPr>
          <w:b/>
          <w:bCs/>
        </w:rPr>
        <w:t>ENERGIA ELETTRICA</w:t>
      </w:r>
      <w:r w:rsidR="00AF6EC0">
        <w:t xml:space="preserve"> e </w:t>
      </w:r>
      <w:r w:rsidR="00AF6EC0" w:rsidRPr="00AF6EC0">
        <w:rPr>
          <w:b/>
          <w:bCs/>
        </w:rPr>
        <w:t>GAS</w:t>
      </w:r>
      <w:r w:rsidR="00AF6EC0">
        <w:t xml:space="preserve"> vale la regola introdotto con la norma di interpretazione autentica che vuole come soggetto passivo la società titolare della rete che pagherà sulla base delle utenze dichiarate dalle diverse società che commercializzano all'utente finale il servizio. Si dovrà quindi concentrare l’attenzione solo sulle società che gestiscono l’infrastruttura necessaria per l’erogazione dei due servizi. Queste dovranno dichiarare le utenze di tutte le compagnie che, sfruttando la loro rete, distribuiscono il servizio all’utente finale</w:t>
      </w:r>
      <w:r>
        <w:t xml:space="preserve">. </w:t>
      </w:r>
      <w:r w:rsidR="00BD3F21">
        <w:t>Dopodiché</w:t>
      </w:r>
      <w:r>
        <w:t xml:space="preserve"> </w:t>
      </w:r>
      <w:r w:rsidR="00AF6EC0">
        <w:t xml:space="preserve"> effettuare il pagamento</w:t>
      </w:r>
      <w:r>
        <w:t xml:space="preserve"> calcolando il canone</w:t>
      </w:r>
      <w:r w:rsidR="00AF6EC0">
        <w:t xml:space="preserve"> in base alla tariffa definita per ciascun anno. </w:t>
      </w:r>
    </w:p>
    <w:p w14:paraId="722B775C" w14:textId="7EACBAAA" w:rsidR="00AF6EC0" w:rsidRDefault="009807DF" w:rsidP="00AF6EC0">
      <w:pPr>
        <w:jc w:val="both"/>
      </w:pPr>
      <w:r>
        <w:t>P</w:t>
      </w:r>
      <w:r w:rsidR="00AF6EC0">
        <w:t xml:space="preserve">er i servizi di erogazione </w:t>
      </w:r>
      <w:r w:rsidR="00AF6EC0" w:rsidRPr="007D20EB">
        <w:rPr>
          <w:b/>
          <w:bCs/>
        </w:rPr>
        <w:t xml:space="preserve">ACQUA </w:t>
      </w:r>
      <w:r w:rsidR="00AF6EC0" w:rsidRPr="007D20EB">
        <w:t>e</w:t>
      </w:r>
      <w:r w:rsidR="00AF6EC0" w:rsidRPr="007D20EB">
        <w:rPr>
          <w:b/>
          <w:bCs/>
        </w:rPr>
        <w:t xml:space="preserve"> ACQUE REFLUE</w:t>
      </w:r>
      <w:r>
        <w:rPr>
          <w:b/>
          <w:bCs/>
        </w:rPr>
        <w:t xml:space="preserve"> (o fognatura)</w:t>
      </w:r>
      <w:r w:rsidR="00AF6EC0">
        <w:t xml:space="preserve"> paga il soggetto che eroga i due servizi utilizzando la rete di proprietà </w:t>
      </w:r>
      <w:r>
        <w:t>pubblica</w:t>
      </w:r>
      <w:r w:rsidR="00AF6EC0">
        <w:t xml:space="preserve">. </w:t>
      </w:r>
      <w:r w:rsidR="00AF6EC0" w:rsidRPr="00AF6EC0">
        <w:t xml:space="preserve">Il servizio idrico integrato ha vissuto negli ultimi anni diverse novità grazie all’introduzione del Codice dell'ambiente. La sua natura va sicuramente annoverata tra i servizi pubblici e le sue reti, occupando in modo permanente il </w:t>
      </w:r>
      <w:r w:rsidR="00AF6EC0">
        <w:t>sotto</w:t>
      </w:r>
      <w:r w:rsidR="00AF6EC0" w:rsidRPr="00AF6EC0">
        <w:t>suolo pubblico, rientrano tra le ipotesi di pagamento annuale del Canone Unico Patrimoniale, calcolato in base alle utenze attive e riferite ai due distinti servizi, quello idrico e quello di rete fognaria.</w:t>
      </w:r>
      <w:r w:rsidR="00AF6EC0">
        <w:t xml:space="preserve"> </w:t>
      </w:r>
      <w:r w:rsidR="00AF6EC0" w:rsidRPr="00AF6EC0">
        <w:t>Le società, in qualunque forma giuridica organizzate, che si occupano dell'erogazione e della depurazione delle acque, e che gestiscono l'intero ciclo idrico in convenzione con l’Autorità d’Ambito Territoriale competente, devono considerarsi sempre</w:t>
      </w:r>
      <w:r>
        <w:t>,</w:t>
      </w:r>
      <w:r w:rsidR="00AF6EC0" w:rsidRPr="00AF6EC0">
        <w:t xml:space="preserve"> e in ogni caso, soggetti passivi del Canone, così come vuole lo stesso comma 831</w:t>
      </w:r>
      <w:r w:rsidR="00AF6EC0">
        <w:t>.</w:t>
      </w:r>
      <w:r w:rsidR="007D20EB">
        <w:t xml:space="preserve"> Servirà quindi </w:t>
      </w:r>
      <w:r>
        <w:t>identificare</w:t>
      </w:r>
      <w:r w:rsidR="007D20EB">
        <w:t xml:space="preserve"> e contattare il gestore per il controllo delle utenze dichiarate per i due distinti servizi</w:t>
      </w:r>
      <w:r w:rsidR="00FB1272">
        <w:t xml:space="preserve"> e verificarne i versamenti negli ultimi 5 anni.</w:t>
      </w:r>
    </w:p>
    <w:p w14:paraId="088EF86A" w14:textId="2F169D09" w:rsidR="00AF6EC0" w:rsidRDefault="00FB1272" w:rsidP="007D20EB">
      <w:pPr>
        <w:jc w:val="both"/>
      </w:pPr>
      <w:r>
        <w:t>P</w:t>
      </w:r>
      <w:r w:rsidR="00AF6EC0">
        <w:t xml:space="preserve">er i servizi di erogazione </w:t>
      </w:r>
      <w:r w:rsidR="00AF6EC0" w:rsidRPr="007D20EB">
        <w:rPr>
          <w:b/>
          <w:bCs/>
        </w:rPr>
        <w:t>TELEFONIA FISSA</w:t>
      </w:r>
      <w:r w:rsidR="00AF6EC0">
        <w:t xml:space="preserve"> + </w:t>
      </w:r>
      <w:r w:rsidR="00AF6EC0" w:rsidRPr="007D20EB">
        <w:rPr>
          <w:b/>
          <w:bCs/>
        </w:rPr>
        <w:t>ADSL</w:t>
      </w:r>
      <w:r w:rsidR="007D20EB">
        <w:rPr>
          <w:b/>
          <w:bCs/>
        </w:rPr>
        <w:t xml:space="preserve">, </w:t>
      </w:r>
      <w:r w:rsidR="00AF6EC0">
        <w:t xml:space="preserve">  pagano</w:t>
      </w:r>
      <w:r>
        <w:t xml:space="preserve"> invece </w:t>
      </w:r>
      <w:r w:rsidR="00AF6EC0">
        <w:t xml:space="preserve"> i diversi soggetti che utilizzano in via mediata le reti</w:t>
      </w:r>
      <w:r w:rsidR="007D20EB">
        <w:t xml:space="preserve">. </w:t>
      </w:r>
      <w:r>
        <w:t xml:space="preserve">Infatti possiamo sostenere come questo sia </w:t>
      </w:r>
      <w:r w:rsidR="007D20EB">
        <w:t xml:space="preserve">di fatto l’unico settore dove entra in gioco la </w:t>
      </w:r>
      <w:r>
        <w:t xml:space="preserve">cosiddetta </w:t>
      </w:r>
      <w:r w:rsidR="007D20EB">
        <w:t>soggettività passiva in via mediata voluta dal Legislatore,</w:t>
      </w:r>
      <w:r>
        <w:t xml:space="preserve"> attualmente</w:t>
      </w:r>
      <w:r w:rsidR="007D20EB">
        <w:t xml:space="preserve"> vigente nell’ambito del comma 831. L’attenzione quindi dovrà essere rivolta a tutti quei soggetti che, utilizzano la rete. </w:t>
      </w:r>
      <w:r w:rsidR="007D20EB" w:rsidRPr="007D20EB">
        <w:t xml:space="preserve">Nei modelli business adottati dalle Corporate del settore, si evincono le modalità operative di condivisione delle infrastrutture che possono quindi individuarsi nel fatto che la natura stessa dell'infrastruttura vuole una compresenza di più operatori che agiscono sulla/nella rete del concessionario (tipicamente TIM), la quale </w:t>
      </w:r>
      <w:r w:rsidR="007D20EB" w:rsidRPr="007D20EB">
        <w:lastRenderedPageBreak/>
        <w:t>utilizza anch'essa la rete insieme ai suoi competitors; ciò differentemente da quanto accade nel caso delle società proprietarie della rete di distribuzione del gas o dell'energia elettrica che non possono, per legge, direttamente vendere il prodotto agli utenti finali, dovendosi invece rivolgere ad altre società di vendita per commercializzare il prodotto veicolato nelle proprie infrastrutture.</w:t>
      </w:r>
      <w:r w:rsidR="007D20EB">
        <w:t xml:space="preserve"> Quindi nel mondo dell’erogazione dei servizi di telefonia troveremo: operatori titolari di infrastruttura di rete fissa e muniti delle relative concessioni per l’occupazione di suolo pubblico, operatori che si avvalgono della infrastruttura di rete fissa altrui installandovi propri cavi che arrivano all’utenza, e operatori che commercializzano i servizi di telecomunicazioni senza essere titolari di concessione per l’occupazione di suolo pubblico e senza utilizzare materialmente le infrastrutture di terzi. Quest’ultimi non sono dotati di proprie infrastrutture di rete fissa, la cui posa necessiterebbe di ingenti investimenti e costituirebbe una inutile e diseconomica duplicazione della rete di telecomunicazioni di proprietà di altri operatori, né introducono nelle altrui infrastrutture cavi che raggiungono gli utenti. Tali operatori, dunque, promuovono sul mercato offerte al dettaglio di telefonia fissa e internet senza essere titolari di concessione per l’occupazione di suolo pubblico e senza installare nelle infrastrutture altrui propri cavi fino all’utenza.  </w:t>
      </w:r>
      <w:r>
        <w:t xml:space="preserve">Realizzano </w:t>
      </w:r>
      <w:r w:rsidR="005B1DA3">
        <w:t>quindi esattamente</w:t>
      </w:r>
      <w:r w:rsidR="007D20EB">
        <w:t xml:space="preserve"> quanto previsto da</w:t>
      </w:r>
      <w:r w:rsidR="00C92665">
        <w:t>l</w:t>
      </w:r>
      <w:r w:rsidR="007D20EB">
        <w:t xml:space="preserve"> Legislatore </w:t>
      </w:r>
      <w:r>
        <w:t xml:space="preserve">quando ha pensato </w:t>
      </w:r>
      <w:r w:rsidR="005B1DA3">
        <w:t>di introdurre</w:t>
      </w:r>
      <w:r w:rsidR="007D20EB">
        <w:t xml:space="preserve"> il concetto di “soggettività passiva in via mediata”.</w:t>
      </w:r>
    </w:p>
    <w:p w14:paraId="0113E253" w14:textId="7318B0A2" w:rsidR="00AF6EC0" w:rsidRDefault="00AF6EC0" w:rsidP="00AF6EC0">
      <w:pPr>
        <w:jc w:val="both"/>
      </w:pPr>
      <w:r>
        <w:t xml:space="preserve">Per il servizio di erogazione </w:t>
      </w:r>
      <w:r w:rsidRPr="007D20EB">
        <w:rPr>
          <w:b/>
          <w:bCs/>
        </w:rPr>
        <w:t>FIBRA OTTICA</w:t>
      </w:r>
      <w:r>
        <w:t xml:space="preserve"> </w:t>
      </w:r>
      <w:r w:rsidR="00FB1272">
        <w:t xml:space="preserve">vale esattamente quanto detto </w:t>
      </w:r>
      <w:r w:rsidR="005B1DA3">
        <w:t xml:space="preserve">pocanzi </w:t>
      </w:r>
      <w:r w:rsidR="00FB1272">
        <w:t>per il servizio di Telefonia fissa erogato con i fili tradizionali. Anche queste condutture presenti oramai nella maggior parte dei comuni italiani, consentono una condivisione della rete e realizzano l’ipotesi di soggettività passiva in via mediata</w:t>
      </w:r>
    </w:p>
    <w:p w14:paraId="539013EB" w14:textId="14DFF4C2" w:rsidR="00AF6EC0" w:rsidRPr="005B1DA3" w:rsidRDefault="005B1DA3" w:rsidP="00AF6EC0">
      <w:pPr>
        <w:jc w:val="both"/>
      </w:pPr>
      <w:r>
        <w:t xml:space="preserve">In alcune zone del nostro paese esiste anche l’erogazione del </w:t>
      </w:r>
      <w:r w:rsidR="00AF6EC0">
        <w:t xml:space="preserve">servizio di  </w:t>
      </w:r>
      <w:r w:rsidR="00AF6EC0" w:rsidRPr="005B1DA3">
        <w:rPr>
          <w:b/>
          <w:bCs/>
        </w:rPr>
        <w:t>TELERISCALDAMENTO</w:t>
      </w:r>
      <w:r>
        <w:rPr>
          <w:b/>
          <w:bCs/>
        </w:rPr>
        <w:t xml:space="preserve">, </w:t>
      </w:r>
      <w:r w:rsidRPr="005B1DA3">
        <w:t xml:space="preserve">chiaramente verserà il canone la stessa </w:t>
      </w:r>
      <w:r w:rsidR="00AF6EC0" w:rsidRPr="005B1DA3">
        <w:t xml:space="preserve">società </w:t>
      </w:r>
      <w:r w:rsidR="00C92665">
        <w:t xml:space="preserve">che gestisce </w:t>
      </w:r>
      <w:r w:rsidR="00AF6EC0" w:rsidRPr="005B1DA3">
        <w:t xml:space="preserve">la rete </w:t>
      </w:r>
      <w:r w:rsidR="00C92665">
        <w:t xml:space="preserve">e </w:t>
      </w:r>
      <w:r w:rsidR="00AF6EC0" w:rsidRPr="005B1DA3">
        <w:t xml:space="preserve">che eroga </w:t>
      </w:r>
      <w:r w:rsidR="00C92665">
        <w:t xml:space="preserve">il servizio </w:t>
      </w:r>
      <w:r w:rsidR="00AF6EC0" w:rsidRPr="005B1DA3">
        <w:t>all'utente finale</w:t>
      </w:r>
      <w:r>
        <w:t>. Chiaro che i Comuni interessati dovranno capire, anche contattando il gestore, come viene organizzata l’erogazione alle utenze interessate.</w:t>
      </w:r>
    </w:p>
    <w:p w14:paraId="38BB35F7" w14:textId="0C17D4D0" w:rsidR="00AF6EC0" w:rsidRDefault="005B1DA3" w:rsidP="00AF6EC0">
      <w:pPr>
        <w:jc w:val="both"/>
      </w:pPr>
      <w:r>
        <w:t>P</w:t>
      </w:r>
      <w:r w:rsidR="00AF6EC0">
        <w:t>er le attività strumentali alla fornitura di servizi di pubblica utilità quali</w:t>
      </w:r>
      <w:r w:rsidR="00C92665">
        <w:t xml:space="preserve"> la</w:t>
      </w:r>
      <w:r w:rsidR="00AF6EC0">
        <w:t xml:space="preserve"> trasmissione </w:t>
      </w:r>
      <w:r w:rsidR="00C92665">
        <w:t>dell’</w:t>
      </w:r>
      <w:r w:rsidR="00AF6EC0">
        <w:t>energia elettrica</w:t>
      </w:r>
      <w:r w:rsidR="00C92665">
        <w:t xml:space="preserve"> </w:t>
      </w:r>
      <w:r>
        <w:t xml:space="preserve">o </w:t>
      </w:r>
      <w:r w:rsidR="00C92665">
        <w:t xml:space="preserve">la </w:t>
      </w:r>
      <w:r>
        <w:t>trasmissione</w:t>
      </w:r>
      <w:r w:rsidR="00C92665">
        <w:t xml:space="preserve"> di</w:t>
      </w:r>
      <w:r>
        <w:t xml:space="preserve"> Gas,</w:t>
      </w:r>
      <w:r w:rsidR="00AF6EC0">
        <w:t xml:space="preserve"> si </w:t>
      </w:r>
      <w:r>
        <w:t>dovranno individuare le aziende che svolgono attività strumentali all’erogazione. Sono soggetti che non hanno rapporti con l’utente finale, ma che partecipano alla filiera di gestione del servizio pubblico. Tipico esempio è quello che individua la società TERNA SPA che sul territorio nazionale si occupa della trasmissione e trasformazione dell’energia elettrica. In questi casi, previsti alla lettera B dalla norma di interpretazione autentica richiamata in premessa, le società verseranno il canone in base all’importo minimo</w:t>
      </w:r>
      <w:r w:rsidR="00C92665">
        <w:t xml:space="preserve"> fissato dal Legislatore e aggiornato ogni anno all’indice ISTAT dei prezzi al consumo</w:t>
      </w:r>
      <w:r>
        <w:t>.</w:t>
      </w:r>
    </w:p>
    <w:p w14:paraId="29ECE368" w14:textId="3DED10CA" w:rsidR="00166909" w:rsidRDefault="005B1DA3" w:rsidP="00AF6EC0">
      <w:pPr>
        <w:jc w:val="both"/>
      </w:pPr>
      <w:r>
        <w:t>P</w:t>
      </w:r>
      <w:r w:rsidR="00AF6EC0">
        <w:t xml:space="preserve">er il servizio di </w:t>
      </w:r>
      <w:r w:rsidR="00C92665" w:rsidRPr="00C92665">
        <w:rPr>
          <w:b/>
          <w:bCs/>
        </w:rPr>
        <w:t>I</w:t>
      </w:r>
      <w:r w:rsidR="00AF6EC0" w:rsidRPr="005B1DA3">
        <w:rPr>
          <w:b/>
          <w:bCs/>
        </w:rPr>
        <w:t>lluminazione pubblica</w:t>
      </w:r>
      <w:r w:rsidR="00AF6EC0">
        <w:t xml:space="preserve"> </w:t>
      </w:r>
      <w:r>
        <w:t>infine possiamo fare le stesse considerazioni. Il servizio prevede l’erogazione della luce nelle strade pubbliche e, il pagamento del canone sarà calcolato sull’importo minimo, trovando attiv</w:t>
      </w:r>
      <w:r w:rsidR="00C92665">
        <w:t>a</w:t>
      </w:r>
      <w:r>
        <w:t xml:space="preserve"> un</w:t>
      </w:r>
      <w:r w:rsidR="00C92665">
        <w:t>a</w:t>
      </w:r>
      <w:r>
        <w:t xml:space="preserve"> sol</w:t>
      </w:r>
      <w:r w:rsidR="00C92665">
        <w:t>a</w:t>
      </w:r>
      <w:r>
        <w:t xml:space="preserve"> uten</w:t>
      </w:r>
      <w:r w:rsidR="00C92665">
        <w:t>za</w:t>
      </w:r>
      <w:r>
        <w:t xml:space="preserve"> per ciascun ambito comunale.</w:t>
      </w:r>
    </w:p>
    <w:p w14:paraId="1729B4D4" w14:textId="032994E9" w:rsidR="00166909" w:rsidRDefault="008C1908" w:rsidP="00E43792">
      <w:pPr>
        <w:jc w:val="both"/>
      </w:pPr>
      <w:r>
        <w:t xml:space="preserve">Definiti questi criteri in base alle caratteristiche di </w:t>
      </w:r>
      <w:r w:rsidR="00C92665">
        <w:t>erogazione</w:t>
      </w:r>
      <w:r>
        <w:t xml:space="preserve"> dei diversi servizi </w:t>
      </w:r>
      <w:r w:rsidR="00C92665">
        <w:t>offerti</w:t>
      </w:r>
      <w:r>
        <w:t xml:space="preserve">, potremo analizzare nel dettaglio le dichiarazioni e i versamenti ricevuti dalle aziende che operano nel nostro </w:t>
      </w:r>
      <w:r w:rsidR="00C92665">
        <w:t>ambito territoriale</w:t>
      </w:r>
      <w:r>
        <w:t>. Probabile</w:t>
      </w:r>
      <w:r w:rsidR="00C92665">
        <w:t xml:space="preserve"> che</w:t>
      </w:r>
      <w:r>
        <w:t xml:space="preserve"> dopo questa analisi</w:t>
      </w:r>
      <w:r w:rsidR="00C92665">
        <w:t xml:space="preserve"> puntuale per ogni servizio, verranno</w:t>
      </w:r>
      <w:r>
        <w:t xml:space="preserve"> riscontra</w:t>
      </w:r>
      <w:r w:rsidR="00C92665">
        <w:t>t</w:t>
      </w:r>
      <w:r>
        <w:t>e delle anomalie rispetto al gettito atteso.</w:t>
      </w:r>
      <w:r w:rsidR="00C92665">
        <w:t xml:space="preserve"> Probabile che riscontreremo la mancanza di diverse dichiarazioni, seppur rese obbligatorie dalla norma.</w:t>
      </w:r>
    </w:p>
    <w:p w14:paraId="1A9B8717" w14:textId="35C04F30" w:rsidR="008C1908" w:rsidRDefault="008C1908" w:rsidP="00E43792">
      <w:pPr>
        <w:jc w:val="both"/>
      </w:pPr>
      <w:r>
        <w:t xml:space="preserve">In tutti quei casi dove non riusciremo a capire come e quanto è stato versato, quali utenze sono state conteggiate, potremo </w:t>
      </w:r>
      <w:r w:rsidR="00F46C9E">
        <w:t xml:space="preserve">legittimamente </w:t>
      </w:r>
      <w:r>
        <w:t>inviare degli specifici questionari, per capire il criterio che è stato adottato dalla società interpellata</w:t>
      </w:r>
      <w:r w:rsidR="00F46C9E">
        <w:t>, e avviare le procedure per l’attività di accertamento</w:t>
      </w:r>
      <w:r>
        <w:t xml:space="preserve">. </w:t>
      </w:r>
    </w:p>
    <w:p w14:paraId="10327E6D" w14:textId="70DAA8E7" w:rsidR="008C1908" w:rsidRDefault="008C1908" w:rsidP="00E43792">
      <w:pPr>
        <w:jc w:val="both"/>
      </w:pPr>
      <w:r>
        <w:t>Utile</w:t>
      </w:r>
      <w:r w:rsidR="00DF3BF0">
        <w:t>,</w:t>
      </w:r>
      <w:r>
        <w:t xml:space="preserve"> in questa attività di valutazione sulla congruità delle dichiarazioni</w:t>
      </w:r>
      <w:r w:rsidR="00DF3BF0">
        <w:t>,</w:t>
      </w:r>
      <w:r>
        <w:t xml:space="preserve"> confrontare le dichiarazioni presentate dalle diverse aziende. Se, ad esempio, la società che gestisce l’infrastruttura dedicata all’erogazione dell’energia elettrica, dichiara 10.000 utenze attive, dovremmo aspettarci numeri simili per l’erogazione di servizi come Acqua, Fognatura, Gas</w:t>
      </w:r>
      <w:r w:rsidR="00514448">
        <w:t xml:space="preserve"> e</w:t>
      </w:r>
      <w:r>
        <w:t xml:space="preserve"> Telefonia in</w:t>
      </w:r>
      <w:r w:rsidR="00514448">
        <w:t xml:space="preserve">tesa come somma del servizio </w:t>
      </w:r>
      <w:r>
        <w:t xml:space="preserve">voce </w:t>
      </w:r>
      <w:r w:rsidR="00514448">
        <w:t>e</w:t>
      </w:r>
      <w:r>
        <w:t xml:space="preserve"> internet</w:t>
      </w:r>
      <w:r w:rsidR="00514448">
        <w:t xml:space="preserve"> offerto dalle varie corporate</w:t>
      </w:r>
      <w:r>
        <w:t xml:space="preserve">. Un immobile condotto come abitazione o come attività commerciale, </w:t>
      </w:r>
      <w:r>
        <w:lastRenderedPageBreak/>
        <w:t xml:space="preserve">artigianale, industriale, o ancora come ufficio, sarà tipicamente allacciato a tutti questi servizi. </w:t>
      </w:r>
      <w:r w:rsidR="00514448">
        <w:t>Ecco quindi che le dichiarazioni devono trovare una certa congruità con quell</w:t>
      </w:r>
      <w:r w:rsidR="006C0D5E">
        <w:t>e</w:t>
      </w:r>
      <w:r w:rsidR="00514448">
        <w:t xml:space="preserve"> presentat</w:t>
      </w:r>
      <w:r w:rsidR="006C0D5E">
        <w:t>e</w:t>
      </w:r>
      <w:r w:rsidR="00514448">
        <w:t xml:space="preserve"> da altri servizi</w:t>
      </w:r>
      <w:r w:rsidR="00FB6A97">
        <w:t xml:space="preserve">. Utile </w:t>
      </w:r>
      <w:r w:rsidR="006C0D5E">
        <w:t xml:space="preserve">in questo senso </w:t>
      </w:r>
      <w:r w:rsidR="00FB6A97">
        <w:t xml:space="preserve">anche il confronto con </w:t>
      </w:r>
      <w:r w:rsidR="00514448">
        <w:t xml:space="preserve"> le posizione attive ai fini TARI, perché</w:t>
      </w:r>
      <w:r w:rsidR="00FB6A97">
        <w:t xml:space="preserve"> anche queste sono</w:t>
      </w:r>
      <w:r w:rsidR="00514448">
        <w:t xml:space="preserve"> riconducibili agli immobili presenti</w:t>
      </w:r>
      <w:r w:rsidR="001868A5">
        <w:t xml:space="preserve"> e condotti </w:t>
      </w:r>
      <w:r w:rsidR="00514448">
        <w:t>nel comune di riferimento.</w:t>
      </w:r>
    </w:p>
    <w:p w14:paraId="2FDD11FF" w14:textId="05B0BF48" w:rsidR="007E6BED" w:rsidRDefault="006C0D5E" w:rsidP="00E43792">
      <w:pPr>
        <w:jc w:val="both"/>
      </w:pPr>
      <w:r>
        <w:t>L’attività di controllo d’altro canto è difficoltos</w:t>
      </w:r>
      <w:r w:rsidR="007E6BED">
        <w:t>a per la natura stessa di questa speciale entrata</w:t>
      </w:r>
      <w:r>
        <w:t>. Il legislatore ha espressamente previsto</w:t>
      </w:r>
      <w:r w:rsidR="007E6BED">
        <w:t xml:space="preserve"> </w:t>
      </w:r>
      <w:r>
        <w:t>la dichiarazione e il pagamento del canone in base al numero complessivo delle utenze risultante al 31 dicembre dell'anno precedente, da effettuarsi entro il 30 aprile di ciascun anno in unica soluzione attraverso la piattaforma PagoPA. Questo meccanismo di autodichiarazione e autoliquidazione del dovuto crea un evidente problema di verifica e controllo sulle dichiarazioni effettuate dai soggetti passivi</w:t>
      </w:r>
      <w:r w:rsidR="007E6BED">
        <w:t xml:space="preserve">. </w:t>
      </w:r>
      <w:r>
        <w:t>Fenomeno accentuato specialmente per quelle compagnie che utilizzano le infrastrutture di comunicazione in via mediata per le quali non sono disponibili informazioni di alcun genere</w:t>
      </w:r>
      <w:r w:rsidR="007E6BED">
        <w:t>.</w:t>
      </w:r>
      <w:r w:rsidR="00951EDA">
        <w:t xml:space="preserve"> </w:t>
      </w:r>
      <w:r w:rsidR="007E6BED">
        <w:t>Infatti, finché il mercato della telefonia era gestito esclusivamente da un solo operatore, questo versava per tutte le utenze attive nel territorio; dopodiché, progressivamente, per effetto della liberalizzazione del mercato e della condivisione delle reti con le altre compagnie, le sue utenze si sono ridotte, fino ad arrivare a oggi, dove si registra, sulla base dei dati nazionali contenuti nell'osservatorio sulle telecomunicazioni pubblicato da Agcom, una suddivisione</w:t>
      </w:r>
      <w:r w:rsidR="008557B1">
        <w:t xml:space="preserve"> delle quote che vede </w:t>
      </w:r>
      <w:r w:rsidR="007E6BED">
        <w:t xml:space="preserve"> Tim det</w:t>
      </w:r>
      <w:r w:rsidR="008557B1">
        <w:t>enere circa</w:t>
      </w:r>
      <w:r w:rsidR="007E6BED">
        <w:t xml:space="preserve"> il 41,9% del mercato nazionale, Vodafone il 16,2%, WindTre il 14,3%, Fastweb il 14,1%, oltre ad altre compagnie minori</w:t>
      </w:r>
      <w:r w:rsidR="008557B1">
        <w:t xml:space="preserve"> presenti a vario titolo nelle diverse regioni del paese</w:t>
      </w:r>
      <w:r w:rsidR="007E6BED">
        <w:t xml:space="preserve">. </w:t>
      </w:r>
    </w:p>
    <w:p w14:paraId="23ACFDD1" w14:textId="654A67DE" w:rsidR="008557B1" w:rsidRDefault="00951EDA" w:rsidP="00E43792">
      <w:pPr>
        <w:jc w:val="both"/>
      </w:pPr>
      <w:r>
        <w:t>A</w:t>
      </w:r>
      <w:r w:rsidR="00DF3BF0">
        <w:t xml:space="preserve">llegato al presente </w:t>
      </w:r>
      <w:r w:rsidR="005F5AB9">
        <w:t>approfondimento</w:t>
      </w:r>
      <w:r>
        <w:t xml:space="preserve"> viene proposto </w:t>
      </w:r>
      <w:r w:rsidR="00DF3BF0">
        <w:t>uno schema che può aiutare a raccogliere le diverse informazioni sulla gestione delle posizioni attive nel proprio territorio. Nello schema vengono riportate anche le diverse tariffe di riferimento degli ultimi 5 anni</w:t>
      </w:r>
      <w:r w:rsidR="005F5AB9">
        <w:t>, con relativo aggiornamento ISTAT,</w:t>
      </w:r>
      <w:r w:rsidR="00DF3BF0">
        <w:t xml:space="preserve"> per </w:t>
      </w:r>
      <w:r>
        <w:t>facilitare</w:t>
      </w:r>
      <w:r w:rsidR="00DF3BF0">
        <w:t xml:space="preserve"> calcoli e verifiche sulle somme versate o da versare per le occupazioni.</w:t>
      </w:r>
    </w:p>
    <w:p w14:paraId="057FDA0A" w14:textId="5FB625A9" w:rsidR="00DF3BF0" w:rsidRDefault="00D91F76" w:rsidP="00E43792">
      <w:pPr>
        <w:jc w:val="both"/>
      </w:pPr>
      <w:r>
        <w:t>In conclusione, e</w:t>
      </w:r>
      <w:r w:rsidR="00DF3BF0">
        <w:t xml:space="preserve">spletata questa attività </w:t>
      </w:r>
      <w:r>
        <w:t xml:space="preserve">di ricognizione e di raccolta informazioni, </w:t>
      </w:r>
      <w:r w:rsidR="00DF3BF0">
        <w:t xml:space="preserve">si potrà, </w:t>
      </w:r>
      <w:r w:rsidR="00951EDA">
        <w:t>per il recupero del canone</w:t>
      </w:r>
      <w:r w:rsidR="00951EDA">
        <w:t xml:space="preserve"> ritenuto eluso</w:t>
      </w:r>
      <w:r w:rsidR="00DF3BF0">
        <w:t>, emettere specifici avvisi di accertamento</w:t>
      </w:r>
      <w:r w:rsidR="00951EDA">
        <w:t xml:space="preserve"> emessi secondo le indicazioni del comma 792 della Legge 160/</w:t>
      </w:r>
      <w:r w:rsidR="0033120B">
        <w:t>2019, accettando di procedere</w:t>
      </w:r>
      <w:r w:rsidR="00DF3BF0">
        <w:t xml:space="preserve">, tutte le volte che non si hanno a disposizione dati </w:t>
      </w:r>
      <w:r w:rsidR="0033120B">
        <w:t>certi, con</w:t>
      </w:r>
      <w:r w:rsidR="00951EDA">
        <w:t xml:space="preserve"> conteggi </w:t>
      </w:r>
      <w:r w:rsidR="00DF3BF0">
        <w:t xml:space="preserve">derivanti da misurazioni induttive </w:t>
      </w:r>
      <w:r w:rsidR="0033120B">
        <w:t>utilizzando</w:t>
      </w:r>
      <w:r w:rsidR="00DF3BF0">
        <w:t xml:space="preserve"> proprio i criteri pocanzi esaminati.</w:t>
      </w:r>
      <w:r>
        <w:t xml:space="preserve">  Evidente infatti </w:t>
      </w:r>
      <w:r w:rsidR="005E57E7">
        <w:t xml:space="preserve">come </w:t>
      </w:r>
      <w:r>
        <w:t xml:space="preserve">l’unico strumento </w:t>
      </w:r>
      <w:r w:rsidR="005E57E7">
        <w:t xml:space="preserve">davvero efficace </w:t>
      </w:r>
      <w:r>
        <w:t xml:space="preserve">disponibile per gli uffici degli enti </w:t>
      </w:r>
      <w:r w:rsidR="005E57E7">
        <w:t>locali, sia rappresentato proprio dalla notifica di un provvedimento formale. Atto che permetterà di non subire passivamente le scelte adottate dalle aziende interessate</w:t>
      </w:r>
      <w:r w:rsidR="0033120B">
        <w:t xml:space="preserve"> ma di aprire un contraddittorio finalizzato alla giusta commisurazione dell’entrata.</w:t>
      </w:r>
    </w:p>
    <w:p w14:paraId="235CB42B" w14:textId="77777777" w:rsidR="005E57E7" w:rsidRDefault="005E57E7" w:rsidP="00E43792">
      <w:pPr>
        <w:jc w:val="both"/>
      </w:pPr>
    </w:p>
    <w:p w14:paraId="424E0ACE" w14:textId="78946F7C" w:rsidR="00D91F76" w:rsidRDefault="005E57E7" w:rsidP="005E57E7">
      <w:pPr>
        <w:pStyle w:val="Paragrafoelenco"/>
        <w:numPr>
          <w:ilvl w:val="0"/>
          <w:numId w:val="2"/>
        </w:numPr>
        <w:jc w:val="both"/>
      </w:pPr>
      <w:r>
        <w:t>A</w:t>
      </w:r>
      <w:r w:rsidR="00D91F76">
        <w:t>llegato</w:t>
      </w:r>
      <w:r>
        <w:t>: foglio di lavoro e raccolta dati</w:t>
      </w:r>
    </w:p>
    <w:p w14:paraId="4CA08534" w14:textId="561F446A" w:rsidR="00E43792" w:rsidRPr="00E43792" w:rsidRDefault="00E43792" w:rsidP="00E43792">
      <w:pPr>
        <w:jc w:val="both"/>
      </w:pPr>
      <w:r>
        <w:t xml:space="preserve"> </w:t>
      </w:r>
    </w:p>
    <w:sectPr w:rsidR="00E43792" w:rsidRPr="00E4379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5406D"/>
    <w:multiLevelType w:val="hybridMultilevel"/>
    <w:tmpl w:val="5566B6DC"/>
    <w:lvl w:ilvl="0" w:tplc="1B481F84">
      <w:start w:val="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6A870C1F"/>
    <w:multiLevelType w:val="hybridMultilevel"/>
    <w:tmpl w:val="D5F4993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59446615">
    <w:abstractNumId w:val="1"/>
  </w:num>
  <w:num w:numId="2" w16cid:durableId="182912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FD"/>
    <w:rsid w:val="00060149"/>
    <w:rsid w:val="00166909"/>
    <w:rsid w:val="001868A5"/>
    <w:rsid w:val="00250966"/>
    <w:rsid w:val="00262F9A"/>
    <w:rsid w:val="0033120B"/>
    <w:rsid w:val="003970FD"/>
    <w:rsid w:val="003A63FF"/>
    <w:rsid w:val="00514448"/>
    <w:rsid w:val="005B1DA3"/>
    <w:rsid w:val="005E57E7"/>
    <w:rsid w:val="005F5AB9"/>
    <w:rsid w:val="006C0D5E"/>
    <w:rsid w:val="006C49C6"/>
    <w:rsid w:val="006F0385"/>
    <w:rsid w:val="006F46F6"/>
    <w:rsid w:val="00702C3B"/>
    <w:rsid w:val="00745B2D"/>
    <w:rsid w:val="007D20EB"/>
    <w:rsid w:val="007E6BED"/>
    <w:rsid w:val="008557B1"/>
    <w:rsid w:val="00882C29"/>
    <w:rsid w:val="008C1908"/>
    <w:rsid w:val="008C59AC"/>
    <w:rsid w:val="008F3F42"/>
    <w:rsid w:val="00951EDA"/>
    <w:rsid w:val="009807DF"/>
    <w:rsid w:val="00A368C3"/>
    <w:rsid w:val="00A82FDF"/>
    <w:rsid w:val="00AA05F0"/>
    <w:rsid w:val="00AF6EC0"/>
    <w:rsid w:val="00B07135"/>
    <w:rsid w:val="00B3164C"/>
    <w:rsid w:val="00BD3F21"/>
    <w:rsid w:val="00C92665"/>
    <w:rsid w:val="00D33B8D"/>
    <w:rsid w:val="00D91F76"/>
    <w:rsid w:val="00DB1C60"/>
    <w:rsid w:val="00DF3BF0"/>
    <w:rsid w:val="00E43792"/>
    <w:rsid w:val="00E60D59"/>
    <w:rsid w:val="00F46C9E"/>
    <w:rsid w:val="00FA0C93"/>
    <w:rsid w:val="00FB1272"/>
    <w:rsid w:val="00FB6A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9BFD"/>
  <w15:chartTrackingRefBased/>
  <w15:docId w15:val="{17F31ED6-B3A8-4D82-9147-236AA1D8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3A6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69026">
      <w:bodyDiv w:val="1"/>
      <w:marLeft w:val="0"/>
      <w:marRight w:val="0"/>
      <w:marTop w:val="0"/>
      <w:marBottom w:val="0"/>
      <w:divBdr>
        <w:top w:val="none" w:sz="0" w:space="0" w:color="auto"/>
        <w:left w:val="none" w:sz="0" w:space="0" w:color="auto"/>
        <w:bottom w:val="none" w:sz="0" w:space="0" w:color="auto"/>
        <w:right w:val="none" w:sz="0" w:space="0" w:color="auto"/>
      </w:divBdr>
    </w:div>
    <w:div w:id="74530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4</Pages>
  <Words>2417</Words>
  <Characters>13783</Characters>
  <Application>Microsoft Office Word</Application>
  <DocSecurity>0</DocSecurity>
  <Lines>114</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30</cp:revision>
  <dcterms:created xsi:type="dcterms:W3CDTF">2023-11-15T14:45:00Z</dcterms:created>
  <dcterms:modified xsi:type="dcterms:W3CDTF">2023-11-18T14:43:00Z</dcterms:modified>
</cp:coreProperties>
</file>