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pPr>
      <w:r w:rsidDel="00000000" w:rsidR="00000000" w:rsidRPr="00000000">
        <w:rPr>
          <w:rtl w:val="0"/>
        </w:rPr>
        <w:t xml:space="preserve">TITOLO: IL CANONE UNICO CHE VORREI</w:t>
      </w:r>
    </w:p>
    <w:p w:rsidR="00000000" w:rsidDel="00000000" w:rsidP="00000000" w:rsidRDefault="00000000" w:rsidRPr="00000000" w14:paraId="00000002">
      <w:pPr>
        <w:jc w:val="both"/>
        <w:rPr>
          <w:b w:val="1"/>
        </w:rPr>
      </w:pPr>
      <w:r w:rsidDel="00000000" w:rsidR="00000000" w:rsidRPr="00000000">
        <w:rPr>
          <w:b w:val="1"/>
          <w:rtl w:val="0"/>
        </w:rPr>
        <w:t xml:space="preserve">Capitolo 1 - Introduzione</w:t>
      </w:r>
    </w:p>
    <w:p w:rsidR="00000000" w:rsidDel="00000000" w:rsidP="00000000" w:rsidRDefault="00000000" w:rsidRPr="00000000" w14:paraId="00000003">
      <w:pPr>
        <w:jc w:val="both"/>
        <w:rPr/>
      </w:pPr>
      <w:r w:rsidDel="00000000" w:rsidR="00000000" w:rsidRPr="00000000">
        <w:rPr>
          <w:rtl w:val="0"/>
        </w:rPr>
        <w:t xml:space="preserve">Come in un gioco di ruoli, proviamo a riscrivere la normativa dedicata alle due nuove entrate patrimoniali introdotte dal Legislatore con la Legge 160 del 2019. Il Canone di concessione patrimoniale di concessione, autorizzazione o esposizione pubblicitaria e il Canone Mercatale.</w:t>
      </w:r>
    </w:p>
    <w:p w:rsidR="00000000" w:rsidDel="00000000" w:rsidP="00000000" w:rsidRDefault="00000000" w:rsidRPr="00000000" w14:paraId="00000004">
      <w:pPr>
        <w:jc w:val="both"/>
        <w:rPr/>
      </w:pPr>
      <w:r w:rsidDel="00000000" w:rsidR="00000000" w:rsidRPr="00000000">
        <w:rPr>
          <w:rtl w:val="0"/>
        </w:rPr>
        <w:t xml:space="preserve">Una revisione del testo normativo che nasce dalle esigenze riscontrate dagli stessi uffici che in questi primi tre anni di applicazione si sono scontrati con un testo di legge, a volte criptico, sicuramente incompleto, con evidenti lacune su diversi aspetti della disciplina, lasciando aperti troppi temi fondamentali, finendo per essere diversamente interpretati dagli enti territoriali chiamati nella gestione della nuova entrata patrimoniale per mezzo dello strumento regolamentare.</w:t>
      </w:r>
    </w:p>
    <w:p w:rsidR="00000000" w:rsidDel="00000000" w:rsidP="00000000" w:rsidRDefault="00000000" w:rsidRPr="00000000" w14:paraId="00000005">
      <w:pPr>
        <w:jc w:val="both"/>
        <w:rPr/>
      </w:pPr>
      <w:r w:rsidDel="00000000" w:rsidR="00000000" w:rsidRPr="00000000">
        <w:rPr>
          <w:rtl w:val="0"/>
        </w:rPr>
        <w:t xml:space="preserve">Queste lacune della norma di legge, si sono ripercosse inevitabilmente sulle diverse discipline locali, andando a creare una varietà applicativa senza precedenti. Enti dello stesso territorio che adottano discipline diverse, a volte con sovrapposizione di competenze, creando confusione e smarrimento nei cittadini chiamati a pagare questa nuova entrata nata proprio non sotto la migliore stella.</w:t>
      </w:r>
    </w:p>
    <w:p w:rsidR="00000000" w:rsidDel="00000000" w:rsidP="00000000" w:rsidRDefault="00000000" w:rsidRPr="00000000" w14:paraId="00000006">
      <w:pPr>
        <w:jc w:val="both"/>
        <w:rPr/>
      </w:pPr>
      <w:r w:rsidDel="00000000" w:rsidR="00000000" w:rsidRPr="00000000">
        <w:rPr>
          <w:rtl w:val="0"/>
        </w:rPr>
        <w:t xml:space="preserve">In questo gioco di fantasia affronteremo ogni comma della legge 160/2019, provando a riscriverne il testo per renderlo più chiaro e rispondente alle esigenze di gestione. Cercando sponda anche dalla giurisprudenza formatasi con i prelievi precedenti su cui il nuovo Canone affonda pesantemente le radici. Perché uno dei problemi maggiori per chi deve applicare un’entrata è proprio l’incertezza delle norme che dovrebbero regolarla. E non basta in questo senso una disciplina regolamentare a colmare le mancanze. Il regolamento dell’entrata è uno strumento di rango inferiore troppo debole in sede contenziosa o anche nel  contraddittorio con i contribuenti. </w:t>
      </w:r>
    </w:p>
    <w:p w:rsidR="00000000" w:rsidDel="00000000" w:rsidP="00000000" w:rsidRDefault="00000000" w:rsidRPr="00000000" w14:paraId="00000007">
      <w:pPr>
        <w:jc w:val="both"/>
        <w:rPr/>
      </w:pPr>
      <w:r w:rsidDel="00000000" w:rsidR="00000000" w:rsidRPr="00000000">
        <w:rPr>
          <w:rtl w:val="0"/>
        </w:rPr>
        <w:t xml:space="preserve">Chissà che quindi questo lavoro non possa servire e ispirare almeno in parte, gli organismi chiamati ad una revisione dell’entrata. Una rivisitazione complessiva  che verrebbe da ogni parte d’Italia accolta positivamente.</w:t>
      </w:r>
    </w:p>
    <w:p w:rsidR="00000000" w:rsidDel="00000000" w:rsidP="00000000" w:rsidRDefault="00000000" w:rsidRPr="00000000" w14:paraId="00000008">
      <w:pPr>
        <w:jc w:val="both"/>
        <w:rPr>
          <w:b w:val="1"/>
        </w:rPr>
      </w:pPr>
      <w:r w:rsidDel="00000000" w:rsidR="00000000" w:rsidRPr="00000000">
        <w:rPr>
          <w:b w:val="1"/>
          <w:rtl w:val="0"/>
        </w:rPr>
        <w:t xml:space="preserve">Capitolo 2 – Il Comma 816. L’istituzione della nuova entrata</w:t>
      </w:r>
    </w:p>
    <w:p w:rsidR="00000000" w:rsidDel="00000000" w:rsidP="00000000" w:rsidRDefault="00000000" w:rsidRPr="00000000" w14:paraId="00000009">
      <w:pPr>
        <w:jc w:val="both"/>
        <w:rPr/>
      </w:pPr>
      <w:r w:rsidDel="00000000" w:rsidR="00000000" w:rsidRPr="00000000">
        <w:rPr>
          <w:rtl w:val="0"/>
        </w:rPr>
        <w:t xml:space="preserve">Iniziamo l’analisi dal comma con il quale è stata prevista l’istituzione dell’entrata da parte dei Comuni, delle Province e delle Città Metropolitane in sostituzione dei precedenti prelievi dedicati alle occupazioni di suolo pubblico e alle diffusioni pubblicitarie.</w:t>
      </w:r>
    </w:p>
    <w:p w:rsidR="00000000" w:rsidDel="00000000" w:rsidP="00000000" w:rsidRDefault="00000000" w:rsidRPr="00000000" w14:paraId="0000000A">
      <w:pPr>
        <w:jc w:val="both"/>
        <w:rPr>
          <w:i w:val="1"/>
        </w:rPr>
      </w:pPr>
      <w:r w:rsidDel="00000000" w:rsidR="00000000" w:rsidRPr="00000000">
        <w:rPr>
          <w:rtl w:val="0"/>
        </w:rPr>
        <w:t xml:space="preserve">Il testo di Legge dispone: </w:t>
      </w:r>
      <w:r w:rsidDel="00000000" w:rsidR="00000000" w:rsidRPr="00000000">
        <w:rPr>
          <w:i w:val="1"/>
          <w:rtl w:val="0"/>
        </w:rPr>
        <w:t xml:space="preserve">“816. A decorrere dal 2021 il canone patrimoniale di concessione, autorizzazione o esposizione pubblicitaria, ai fini di cui al presente comma e ai commi da 817 a 836, denominato « canone », è istituito dai comuni, dalle province e dalle città metropolitane, di seguito denominati « enti », e sostituisce: la tassa per l’occupazione di spazi ed aree pubbliche, il canone per l’occupazione di spazi ed aree pubbliche, l’imposta comunale sulla pubblicità e il diritto sulle pubbliche affissioni, il canone per l’installazione dei mezzi pubblicitari e il canone di cui all’articolo 27, commi 7 e 8, del codice della strada, di cui al decreto legislativo 30 aprile 1992, n. 285, limitatamente alle strade di pertinenza dei comuni e delle province. Il canone è comunque comprensivo di qualunque canone ricognitorio o concessorio previsto da norme di legge e dai regolamenti comunali e provinciali, fatti salvi quelli connessi a prestazioni di servizi.”</w:t>
      </w:r>
    </w:p>
    <w:p w:rsidR="00000000" w:rsidDel="00000000" w:rsidP="00000000" w:rsidRDefault="00000000" w:rsidRPr="00000000" w14:paraId="0000000B">
      <w:pPr>
        <w:jc w:val="both"/>
        <w:rPr/>
      </w:pPr>
      <w:r w:rsidDel="00000000" w:rsidR="00000000" w:rsidRPr="00000000">
        <w:rPr>
          <w:rtl w:val="0"/>
        </w:rPr>
        <w:t xml:space="preserve">Questo testo, trattandosi del comma istitutivo dell’entrata non potrà vedere cambiamenti significativi, a meno che non si voglia pensare di riscrivere completamente la disciplina di questa entrata ripartendo da un nuovo impianto normativo. </w:t>
      </w:r>
    </w:p>
    <w:p w:rsidR="00000000" w:rsidDel="00000000" w:rsidP="00000000" w:rsidRDefault="00000000" w:rsidRPr="00000000" w14:paraId="0000000C">
      <w:pPr>
        <w:jc w:val="both"/>
        <w:rPr/>
      </w:pPr>
      <w:r w:rsidDel="00000000" w:rsidR="00000000" w:rsidRPr="00000000">
        <w:rPr>
          <w:rtl w:val="0"/>
        </w:rPr>
        <w:t xml:space="preserve">Nell'ambito di questo comma vi è una parola che più di altre ha condizionato la gestione dell’entrata, si tratta della parola “patrimoniale” con la quale il Legislatore ha voluto attribuire alla nuova entrata una natura extra tributaria. Scelta che può trovare consenso e legittimazione sicuramente per la componente legata all’occupazione del suolo pubblico, meno invece per il canone relativo alla diffusione pubblicitaria, le cui dinamiche hanno portato molti a considerare l’entrata di natura tributaria nonostante il </w:t>
      </w:r>
      <w:r w:rsidDel="00000000" w:rsidR="00000000" w:rsidRPr="00000000">
        <w:rPr>
          <w:i w:val="1"/>
          <w:rtl w:val="0"/>
        </w:rPr>
        <w:t xml:space="preserve">nomen iuris</w:t>
      </w:r>
      <w:r w:rsidDel="00000000" w:rsidR="00000000" w:rsidRPr="00000000">
        <w:rPr>
          <w:rtl w:val="0"/>
        </w:rPr>
        <w:t xml:space="preserve">.</w:t>
      </w:r>
    </w:p>
    <w:p w:rsidR="00000000" w:rsidDel="00000000" w:rsidP="00000000" w:rsidRDefault="00000000" w:rsidRPr="00000000" w14:paraId="0000000D">
      <w:pPr>
        <w:jc w:val="both"/>
        <w:rPr/>
      </w:pPr>
      <w:r w:rsidDel="00000000" w:rsidR="00000000" w:rsidRPr="00000000">
        <w:rPr>
          <w:rtl w:val="0"/>
        </w:rPr>
        <w:t xml:space="preserve">Il canone per la componente di occupazione di spazi pubblici, è concepito come un quid ontologicamente diverso dalle entrate tributarie,  esso rappresenta "il corrispettivo di una concessione reale o presunta".</w:t>
      </w:r>
    </w:p>
    <w:p w:rsidR="00000000" w:rsidDel="00000000" w:rsidP="00000000" w:rsidRDefault="00000000" w:rsidRPr="00000000" w14:paraId="0000000E">
      <w:pPr>
        <w:jc w:val="both"/>
        <w:rPr/>
      </w:pPr>
      <w:r w:rsidDel="00000000" w:rsidR="00000000" w:rsidRPr="00000000">
        <w:rPr>
          <w:rtl w:val="0"/>
        </w:rPr>
        <w:t xml:space="preserve">Sull’argomento si è già espresso il Dipartimento del MEF con una risposta a Telefisco 2022, secondo il quale, stante la chiara formulazione utilizzata dal Legislatore, unita al fatto che all’interno della normativa che regolamenta il canone non si rinvengono elementi tali da far considerare diversa la natura giuridica della fattispecie di diffusione di messaggi pubblicitari, si deve considerare la natura patrimoniale per entrambe le componenti. Anche alcune sentenze del TAR hanno peraltro ricondotto l’entrata sotto il tetto dei proventi patrimoniali. In questi primi anni vi sono state tuttavia alcune sentenze di Corti tributarie che anziché dichiararsi incompetenti hanno deciso su questioni legate a controversie afferenti il nuovo Canone. </w:t>
      </w:r>
    </w:p>
    <w:p w:rsidR="00000000" w:rsidDel="00000000" w:rsidP="00000000" w:rsidRDefault="00000000" w:rsidRPr="00000000" w14:paraId="0000000F">
      <w:pPr>
        <w:jc w:val="both"/>
        <w:rPr/>
      </w:pPr>
      <w:r w:rsidDel="00000000" w:rsidR="00000000" w:rsidRPr="00000000">
        <w:rPr>
          <w:rtl w:val="0"/>
        </w:rPr>
        <w:t xml:space="preserve">Tutto sommato, in questo lavoro di ricognizione della norma, si può ipotizzare di non procedere ad alcuna modifica del comma, in nessuna delle sue componenti, in modo da non minare la base di partenza del lavoro e perché con i successivi commi si potrà meglio intervenire sulle numerose questioni aperte.</w:t>
      </w:r>
    </w:p>
    <w:p w:rsidR="00000000" w:rsidDel="00000000" w:rsidP="00000000" w:rsidRDefault="00000000" w:rsidRPr="00000000" w14:paraId="00000010">
      <w:pPr>
        <w:jc w:val="both"/>
        <w:rPr/>
      </w:pPr>
      <w:r w:rsidDel="00000000" w:rsidR="00000000" w:rsidRPr="00000000">
        <w:rPr>
          <w:rtl w:val="0"/>
        </w:rPr>
        <w:t xml:space="preserve">In ogni caso, indicare nel testo di legge che una componente deve intendersi patrimoniale ed una tributaria, snaturerebbe l’entrata unica e come detto dovremmo, seguendo questa direzione, pensare di ripartire da capo reintroducendo due prelievi distinti.</w:t>
      </w:r>
    </w:p>
    <w:p w:rsidR="00000000" w:rsidDel="00000000" w:rsidP="00000000" w:rsidRDefault="00000000" w:rsidRPr="00000000" w14:paraId="00000011">
      <w:pPr>
        <w:jc w:val="both"/>
        <w:rPr/>
      </w:pPr>
      <w:r w:rsidDel="00000000" w:rsidR="00000000" w:rsidRPr="00000000">
        <w:rPr>
          <w:rtl w:val="0"/>
        </w:rPr>
        <w:t xml:space="preserve">Interessante in questo senso anche il richiamo al canone dell’articolo 27 del Codice della Strada che viene sostituito dal canone Unico solo per le strade di competenza comunale e provinciale. Passaggio del comma che ha creato diversi problemi interpretativi partendo dal presupposto che l’entrata prevista dal Codice della Strada non è stata soppressa e potrà ancora essere applicata tutte le volte che non si realizzano le condizioni per applicare la nuova entrata patrimoniale. Un groviglio di scenari che vede intersecare competenze di enti diversi, con situazioni davvero limite che hanno visto enti territoriali sovrapporre le rispettive discipline nell’ambito dello stesso territorio. Su questa enorme problematica applicativa, proporremo modifiche nei commi successivi.</w:t>
      </w:r>
    </w:p>
    <w:p w:rsidR="00000000" w:rsidDel="00000000" w:rsidP="00000000" w:rsidRDefault="00000000" w:rsidRPr="00000000" w14:paraId="00000012">
      <w:pPr>
        <w:jc w:val="both"/>
        <w:rPr>
          <w:b w:val="1"/>
        </w:rPr>
      </w:pPr>
      <w:r w:rsidDel="00000000" w:rsidR="00000000" w:rsidRPr="00000000">
        <w:rPr>
          <w:b w:val="1"/>
          <w:rtl w:val="0"/>
        </w:rPr>
        <w:t xml:space="preserve">Capitolo 3 – Il comma 817. L’invarianza di gettito e la possibilità di variarlo</w:t>
      </w:r>
    </w:p>
    <w:p w:rsidR="00000000" w:rsidDel="00000000" w:rsidP="00000000" w:rsidRDefault="00000000" w:rsidRPr="00000000" w14:paraId="00000013">
      <w:pPr>
        <w:jc w:val="both"/>
        <w:rPr/>
      </w:pPr>
      <w:r w:rsidDel="00000000" w:rsidR="00000000" w:rsidRPr="00000000">
        <w:rPr>
          <w:rtl w:val="0"/>
        </w:rPr>
        <w:t xml:space="preserve">Il comma con il quale il legislatore ha voluto legare la nuova entrata ai precedenti prelievi. Un vincolo imposto agli enti locali nell’andare a istituire e disciplinare la propria entrata in continuità con il passato. Un monito a non stravolgere gli impianti tariffari e i gettiti attesi dalle entrate sostituite.</w:t>
      </w:r>
    </w:p>
    <w:p w:rsidR="00000000" w:rsidDel="00000000" w:rsidP="00000000" w:rsidRDefault="00000000" w:rsidRPr="00000000" w14:paraId="00000014">
      <w:pPr>
        <w:jc w:val="both"/>
        <w:rPr/>
      </w:pPr>
      <w:r w:rsidDel="00000000" w:rsidR="00000000" w:rsidRPr="00000000">
        <w:rPr>
          <w:rtl w:val="0"/>
        </w:rPr>
        <w:t xml:space="preserve">Con il comma 817 si è disposto che: </w:t>
      </w:r>
      <w:r w:rsidDel="00000000" w:rsidR="00000000" w:rsidRPr="00000000">
        <w:rPr>
          <w:i w:val="1"/>
          <w:rtl w:val="0"/>
        </w:rPr>
        <w:t xml:space="preserve">“Il canone è disciplinato dagli enti in modo da assicurare un gettito pari a quello conseguito dai canoni e dai tributi che sono sostituiti dal canone, fatta salva, in ogni caso, la possibilità di variare il gettito attraverso la modifica delle tariffe.”</w:t>
      </w:r>
      <w:r w:rsidDel="00000000" w:rsidR="00000000" w:rsidRPr="00000000">
        <w:rPr>
          <w:rtl w:val="0"/>
        </w:rPr>
        <w:t xml:space="preserve"> </w:t>
      </w:r>
    </w:p>
    <w:p w:rsidR="00000000" w:rsidDel="00000000" w:rsidP="00000000" w:rsidRDefault="00000000" w:rsidRPr="00000000" w14:paraId="00000015">
      <w:pPr>
        <w:jc w:val="both"/>
        <w:rPr/>
      </w:pPr>
      <w:r w:rsidDel="00000000" w:rsidR="00000000" w:rsidRPr="00000000">
        <w:rPr>
          <w:rtl w:val="0"/>
        </w:rPr>
        <w:t xml:space="preserve">In questo comma possiamo concentrare l’attenzione sulla disposizione finale, ovvero sulla possibilità riconosciuta agli enti di variare il gettito attraverso la modifica delle tariffe. Sul significato e sulla portata di questa frase si è letto di tutto. Recentemente il TAR Lombardia ha richiamato questa disposizione per legittimare l’operato dei comuni che hanno variato le tariffe base disposte dal Legislatore per consentire l’obiettivo dell’invarianza di gettito prevista nella prima parte del comma. </w:t>
      </w:r>
    </w:p>
    <w:p w:rsidR="00000000" w:rsidDel="00000000" w:rsidP="00000000" w:rsidRDefault="00000000" w:rsidRPr="00000000" w14:paraId="00000016">
      <w:pPr>
        <w:jc w:val="both"/>
        <w:rPr/>
      </w:pPr>
      <w:r w:rsidDel="00000000" w:rsidR="00000000" w:rsidRPr="00000000">
        <w:rPr>
          <w:rtl w:val="0"/>
        </w:rPr>
        <w:t xml:space="preserve">Questa formulazione del comma, che a prima vista sembra una contraddizione espressa all'interno della stessa frase, in realtà deve essere letta come la volontà di definire una disciplina che da una parte fosse coerente con i precedenti prelievi, e che dall'altra garantisse ai soggetti attivi della nuova entrata patrimoniale, quellautonomia e potestà regolamentare in materia di proprie entrate, riconosciuta dall'articolo 52 del Dlgs 446/1997. </w:t>
      </w:r>
    </w:p>
    <w:p w:rsidR="00000000" w:rsidDel="00000000" w:rsidP="00000000" w:rsidRDefault="00000000" w:rsidRPr="00000000" w14:paraId="00000017">
      <w:pPr>
        <w:jc w:val="both"/>
        <w:rPr/>
      </w:pPr>
      <w:r w:rsidDel="00000000" w:rsidR="00000000" w:rsidRPr="00000000">
        <w:rPr>
          <w:rtl w:val="0"/>
        </w:rPr>
        <w:t xml:space="preserve">L'obiettivo dichiarato del Legislatore era quello di riunificare le entrate senza stravolgerle, lasciando comunque quell'autonomia agli enti territoriali nel regolarla in base alle proprie caratteristiche e alla propria storia.</w:t>
      </w:r>
    </w:p>
    <w:p w:rsidR="00000000" w:rsidDel="00000000" w:rsidP="00000000" w:rsidRDefault="00000000" w:rsidRPr="00000000" w14:paraId="00000018">
      <w:pPr>
        <w:jc w:val="both"/>
        <w:rPr>
          <w:i w:val="1"/>
        </w:rPr>
      </w:pPr>
      <w:r w:rsidDel="00000000" w:rsidR="00000000" w:rsidRPr="00000000">
        <w:rPr>
          <w:rtl w:val="0"/>
        </w:rPr>
        <w:t xml:space="preserve">In questa direzione sono andati i Giudici del TAR milanese. Nella sentenza si legge: “</w:t>
      </w:r>
      <w:r w:rsidDel="00000000" w:rsidR="00000000" w:rsidRPr="00000000">
        <w:rPr>
          <w:i w:val="1"/>
          <w:rtl w:val="0"/>
        </w:rPr>
        <w:t xml:space="preserve">Dalla lettura della norma emerge che la disposizione impone agli enti locali il vincolo di disciplinare il canone in modo da assicurare un gettito pari a quello conseguito dai tributi che lo stesso sostituisce (c.d. invarianza del gettito in aumento), ma nel contempo riconosce agli stessi enti locali la possibilità, per raggiungere detto obiettivo, di variare il gettito modificando le tariffe base stabilite dal legislatore nei commi 826 ("tariffa standard annua") e 827 ("tariffa standard giornaliera"), in tal modo attribuendo all’Amministrazione locale un potere discrezionale di modulare il canone in funzione delle specificità della singola realtà territoriale, in applicazione del principio di autonomia finanziaria di entrata di cui all'art. 119 Cost. (TAR Lazio, Roma, II, 4 aprile 2022, n. 3855).”</w:t>
      </w:r>
    </w:p>
    <w:p w:rsidR="00000000" w:rsidDel="00000000" w:rsidP="00000000" w:rsidRDefault="00000000" w:rsidRPr="00000000" w14:paraId="00000019">
      <w:pPr>
        <w:jc w:val="both"/>
        <w:rPr/>
      </w:pPr>
      <w:r w:rsidDel="00000000" w:rsidR="00000000" w:rsidRPr="00000000">
        <w:rPr>
          <w:rtl w:val="0"/>
        </w:rPr>
        <w:t xml:space="preserve">I Giudici richiamano una precedente sentenza del TAR Lazio che si esprimeva proprio su questi principi. In questo senso, per i giudici milanesi, l’invarianza prevista dal riportato comma 817 non va riferita ai singoli utenti, né a ciascun impianto pubblicitario o alle diverse fattispecie di occupazione del suolo pubblico, il cui eventuale incremento degli importi dovuti a seguito dell’introduzione del CU non ha autonomo rilievo rispetto alla valutazione dell’osservanza del vincolo recato dal succitato comma 817. Ciò che occorre considerare è invece il prelievo complessivo conseguito dall’Ente, che mediante il CU non può riscuotere, complessivamente, più di quanto incamerato con i tributi e contributi dismessi. Valutazione che si ritiene corretta in sede di prima applicazione del Canone per l’anno 2021, ma che può essere certamente by passata per le annualità successive, con scelte delle amministrazioni locali debitamente motivate.</w:t>
      </w:r>
    </w:p>
    <w:p w:rsidR="00000000" w:rsidDel="00000000" w:rsidP="00000000" w:rsidRDefault="00000000" w:rsidRPr="00000000" w14:paraId="0000001A">
      <w:pPr>
        <w:jc w:val="both"/>
        <w:rPr/>
      </w:pPr>
      <w:r w:rsidDel="00000000" w:rsidR="00000000" w:rsidRPr="00000000">
        <w:rPr>
          <w:rtl w:val="0"/>
        </w:rPr>
        <w:t xml:space="preserve">Infatti una diversa lettura del comma, potrebbe portare a valutare come gli enti, nell’ambito dell’autonomia riconosciuta in materia di proprie entrate, possono legittimamente prevedere, anche nel primo anno di applicazione del canone, una modifica delle tariffe. Modifica che del resto avrebbe assunto anche nel caso di una continuità con i prelievi precedenti. Modifiche che potevano anche comportare una variazione del gettito, se ben motivata e correttamente supportata dal Bilancio dell’ente stesso.  Il Legislatore scrive infatti “fatta salva, in ogni caso” come dire, è richiesta l’invarianza di gettito, tuttavia viene rispettata la possibilità per gli enti, di variare il gettito dell’entrata stessa. </w:t>
      </w:r>
    </w:p>
    <w:p w:rsidR="00000000" w:rsidDel="00000000" w:rsidP="00000000" w:rsidRDefault="00000000" w:rsidRPr="00000000" w14:paraId="0000001B">
      <w:pPr>
        <w:jc w:val="both"/>
        <w:rPr/>
      </w:pPr>
      <w:r w:rsidDel="00000000" w:rsidR="00000000" w:rsidRPr="00000000">
        <w:rPr>
          <w:rtl w:val="0"/>
        </w:rPr>
        <w:t xml:space="preserve">Adottando questa lettura, si ritiene che anche per questo comma non siano necessarie modifiche.</w:t>
      </w:r>
    </w:p>
    <w:p w:rsidR="00000000" w:rsidDel="00000000" w:rsidP="00000000" w:rsidRDefault="00000000" w:rsidRPr="00000000" w14:paraId="0000001C">
      <w:pPr>
        <w:spacing w:after="240" w:before="240" w:lineRule="auto"/>
        <w:jc w:val="both"/>
        <w:rPr>
          <w:b w:val="1"/>
        </w:rPr>
      </w:pPr>
      <w:r w:rsidDel="00000000" w:rsidR="00000000" w:rsidRPr="00000000">
        <w:rPr>
          <w:b w:val="1"/>
          <w:rtl w:val="0"/>
        </w:rPr>
        <w:t xml:space="preserve">Capitolo 4 – il comma 818. La competenza territoriale</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Ecco un comma che necessita di una riformulazione. Uno di quelli che maggiormente ha creato problemi interpretativi. Scritto in modo incompleto e assolutamente poco chiaro.</w:t>
      </w:r>
    </w:p>
    <w:p w:rsidR="00000000" w:rsidDel="00000000" w:rsidP="00000000" w:rsidRDefault="00000000" w:rsidRPr="00000000" w14:paraId="0000001E">
      <w:pPr>
        <w:spacing w:after="240" w:before="240" w:lineRule="auto"/>
        <w:jc w:val="both"/>
        <w:rPr>
          <w:i w:val="1"/>
        </w:rPr>
      </w:pPr>
      <w:r w:rsidDel="00000000" w:rsidR="00000000" w:rsidRPr="00000000">
        <w:rPr>
          <w:rtl w:val="0"/>
        </w:rPr>
        <w:t xml:space="preserve">Difficile capire le reali intenzioni del Legislatore dalla lettura del testo che recita: “</w:t>
      </w:r>
      <w:r w:rsidDel="00000000" w:rsidR="00000000" w:rsidRPr="00000000">
        <w:rPr>
          <w:i w:val="1"/>
          <w:rtl w:val="0"/>
        </w:rPr>
        <w:t xml:space="preserve">Nelle aree comunali si comprendono i tratti di strada situati all’interno di centri abitati con popolazione superiore a 10.000 abitanti, individuabili a norma dell’articolo 2, comma 7, del codice della strada, di cui al decreto legislativo 30 aprile 1992, n. 285.”</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Il comma è stato già oggetto di una modifica introdotta con la Legge 197 del 29 dicembre 2022, che ha eliminato le parole “di comuni” riferendo quindi il limite di abitanti al singolo centro abitato e non più all’intera popolazione del Comune.  Tuttavia anche questa modifica non è stata sufficiente a chiarire i dubbi che aveva generato. Dubbi di fondamentale importanza visto che vanno a definire la soggettività attiva dell’entrata. Direi un elemento così importante nella vita di un’entrata che sembra davvero impossibile che oggi vi siano ancora dubbi su chi effettivamente è titolato a riscuotere il canone. Una formulazione, quella contenuta nel comma 818, che non aiuta a capire e che non spiega come valutare le situazioni in riferimento alle occupazioni di suolo pubblico, e soprattutto per le diffusioni pubblicitarie. Perché con il precedente prelievo, il presupposto pubblicitario era di esclusiva competenza comunale. Forse il Legislatore ha dato per scontato che vi fosse una naturale continuità con il passato e che quindi quanto riportato nel comma 818 fosse palesemente riferito solo alle occupazioni di suolo pubblico? Molto probabilmente si. Dopo aver letto numerose opinioni, sentenze e orientamenti, sono convinto che le reali intenzioni del Legislatore era proprio questa.</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Dalla analisi letterale della norma si potrebbe equivocare che, sui tratti di strada non comunali fuori dai limiti dei centri abitati e nei percorsi delle strade provinciali o statali che attraversano i centri abitati di Comuni con popolazione inferiore a 10.000 abitanti, la competenza appartenga all'ente proprietario o gestore della strada, ma davvero potrebbe essere così? Realmente il legislatore voleva attribuire a diversi enti la riscossione del canone anche per le iniziative pubblicitarie? E se così fosse, come si concilierebbe con la necessità di garantire l'invarianza di gettito da parte dei Comuni? Molti di questi sono attraversati da strade provinciali, regionali e statali, un'importante percentuale del loro gettito di imposta pubblicitaria deriva proprio da installazioni visibili da queste strade di grande percorrenza, impianti collocati in prossimità di queste arterie che  secondo questa interpretazione letterale potrebbero fuoriuscire dalla sfera di competenza dei Comuni. Ipotesi da escludere. Per questo il comma dovrebbe essere riscritto.</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La verità è che il legislatore con il comma 818 della Legge 160 definisce la competenza comunale comprendendo tutti i tratti di strada situati all’interno di centri abitati con popolazione superiore a 10.000 abitanti. Regola che deve essere ricondotta solo alle occupazioni di suolo pubblico e non al presupposto pubblicitario. Si ritiene infatti  che il nuovo prelievo non ha spostato  la  soggettività  attiva da un ente all’altro.  Pertanto, anche col nuovo canone unico la Provincia potrà continuare a pretendere solo la componente di canone unico collegata all’occupazione di suolo pubblico e non anche quella collegata alla diffusione dei messaggi pubblicitari. La nozione di Canone “unico”, in altri termini, non trova applicazione nel senso della fusione delle quote oggetto di prelievo di competenza di enti diversi, non essendo tale confluenza prevista da alcun passo della legge 160/2019.</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Rimane quindi ferma la convinzione che il nuovo prelievo non abbia  spostato  la soggettività attiva da un ente all’altro.  Per questo  con  il  canone unico la Provincia potrà continuare a pretendere solo la componente  collegata all’occupazione di suolo pubblico e non anche quella collegata alla diffusione dei messaggi pubblicitari</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Anche il Dipartimento delle Finanze, nella risposta n.5 fornita a Telefisco 2022, aveva di fatto già confermato questo orientamento, chiarendo che i comuni, nel caso di impianti pubblicitari installati su strada di competenza della provincia, avrebbero riscosso il presupposto pubblicitario, mentre la provincia, avrebbe riscosso il canone basato sul presupposto legato all'occupazione di suolo pubblico. Per uno stesso oggetto quindi, si realizzano entrambi i presupposti per i quali non trova applicazione la regola dell'assorbimento dei due prelievi voluta dal comma 820, ma, piuttosto, una legittima duplice richiesta di pagamento effettuata dalle due pubbliche amministrazioni interessate.</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In linea con questa interpretazione, troviamo anche la prima sentenza, a conferma che il presupposto pubblicitario sia da considerare sempre e comunque ad esclusivo vantaggio dei comuni. La Corte di Giustizia Tributaria di Milano, con la sentenza n.260 del 27 gennaio scorso, ha ritenuto infatti del tutto irrilevante la circostanza che l'installazione dei mezzi pubblicitari avvenga su strade provinciali, regionali o statali. La competenza autorizzatoria, che può interessare ad esempio la provincia così come l'Anas, non comporta il pagamento del canone per la diffusione di messaggi pubblicitari in loro favore.</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A questi enti saranno invece riservati canoni e corrispettivi rispettivamente per l'occupazione che viene realizzata sull'area di loro competenza e per il rilascio dell'autorizzazione. In particolare, all'Anas, non essendo soggetto attivo del Canone Unico, sarà consentito richiedere, per l'uso della strada, il canone di cui all'articolo 27 del Codice della Strada, mentre per il rilascio dell'atto amministrativo, sarà dovuto il corrispettivo previsto all'articolo 53 del relativo Regolamento di attuazione. Richieste che non interferiscono con la componente pubblicitaria del Canone Unico Patrimoniale, di esclusiva competenza comunale.</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Come detto, con i precedenti prelievi dedicati alle iniziative pubblicitarie, ossia l’Imposta Comunale sulla Pubblicità o l’alternativo canone tributario denominato CIMP, la riscossione era inequivocabilmente solo ed esclusivamente a favore del Comune, individuato dal Legislatore come unico soggetto attivo su tutto il territorio comunale. Strade provinciali, regionali e statali comprese.</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Agli enti proprietari delle strade non rimaneva altro che richiedere, se dai loro regolamenti previsto, il pagamento del canone ex articolo 27 a fronte del rilascio dell’autorizzazione, e in certi casi anche per il solo rilascio del nulla osta, ad installare un impianto pubblicitario lungo la loro strada o in vista di essa.</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Con gli impianti pubblicitari quindi la disciplina ante CUP era del tutto lineare. Gettito ICP di esclusiva competenza comunale, possibilità di richiedere un canone in base all’articolo 27 comma 7 da parte dell’ente proprietario della strada. Nessuna Provincia o Città metropolitana si era quindi mai posta il problema di considerarsi soggetto attivo per il presupposto dell’ICP e di adottarne specifico regolamento.</w:t>
      </w:r>
    </w:p>
    <w:p w:rsidR="00000000" w:rsidDel="00000000" w:rsidP="00000000" w:rsidRDefault="00000000" w:rsidRPr="00000000" w14:paraId="00000029">
      <w:pPr>
        <w:spacing w:after="240" w:before="240" w:lineRule="auto"/>
        <w:jc w:val="both"/>
        <w:rPr>
          <w:i w:val="1"/>
        </w:rPr>
      </w:pPr>
      <w:r w:rsidDel="00000000" w:rsidR="00000000" w:rsidRPr="00000000">
        <w:rPr>
          <w:rtl w:val="0"/>
        </w:rPr>
        <w:t xml:space="preserve">In questo senso, il testo del comma 818, potrebbe essere così riscritto: “Ai soli fini del presupposto di cui alla lettera A del comma 819, n</w:t>
      </w:r>
      <w:r w:rsidDel="00000000" w:rsidR="00000000" w:rsidRPr="00000000">
        <w:rPr>
          <w:i w:val="1"/>
          <w:rtl w:val="0"/>
        </w:rPr>
        <w:t xml:space="preserve">elle aree comunali si comprendono i tratti di strada situati all’interno di centri abitati con popolazione superiore a 10.000 abitanti, individuabili a norma dell’articolo 2, comma 7, del codice della strada, di cui al decreto legislativo 30 aprile 1992, n. 285. Per il presupposto di cui alla lettera B del comma 819, la competenza è comunale su tutto il territorio del Comune, sia all’interno dei centri abitati che all’esterno degli stessi, indipendentemente dall’ente proprietario della strada”</w:t>
      </w:r>
    </w:p>
    <w:p w:rsidR="00000000" w:rsidDel="00000000" w:rsidP="00000000" w:rsidRDefault="00000000" w:rsidRPr="00000000" w14:paraId="0000002A">
      <w:pPr>
        <w:spacing w:after="240" w:before="240" w:lineRule="auto"/>
        <w:jc w:val="both"/>
        <w:rPr>
          <w:b w:val="1"/>
        </w:rPr>
      </w:pPr>
      <w:r w:rsidDel="00000000" w:rsidR="00000000" w:rsidRPr="00000000">
        <w:rPr>
          <w:b w:val="1"/>
          <w:rtl w:val="0"/>
        </w:rPr>
        <w:t xml:space="preserve">Capitolo 5 – il comma 819. Il doppio presupposto</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Altro comma fondamentale della disciplina CUP, con il comma 819 il Legislatore definisce il presupposto della nuova entrata, che ironia della sorte viene chiamata Canone Unico, ma che in realtà si tratta di due entrate distinte, forzatamente ricondotto sotto lo stesso nome. Se fu forte la volontà di creare un’unica entrata, non altrettanto è stato possibile definire un univoco presupposto, così che il Legislatore ha optato per shiftare il comma in due lettere, A e B, rispettivamente per definire il presupposto legato alle occupazioni di suolo pubblico e per quello legato alle diffusioni pubblicitarie.</w:t>
      </w:r>
    </w:p>
    <w:p w:rsidR="00000000" w:rsidDel="00000000" w:rsidP="00000000" w:rsidRDefault="00000000" w:rsidRPr="00000000" w14:paraId="0000002C">
      <w:pPr>
        <w:spacing w:after="240" w:before="240" w:lineRule="auto"/>
        <w:jc w:val="both"/>
        <w:rPr>
          <w:i w:val="1"/>
        </w:rPr>
      </w:pPr>
      <w:r w:rsidDel="00000000" w:rsidR="00000000" w:rsidRPr="00000000">
        <w:rPr>
          <w:rtl w:val="0"/>
        </w:rPr>
        <w:t xml:space="preserve">Il testo di legge prevede: “Il presupposto del canone è: </w:t>
      </w:r>
      <w:r w:rsidDel="00000000" w:rsidR="00000000" w:rsidRPr="00000000">
        <w:rPr>
          <w:i w:val="1"/>
          <w:rtl w:val="0"/>
        </w:rPr>
        <w:t xml:space="preserve">a) l’occupazione, anche abusiva, delle aree appartenenti al demanio o al patrimonio indisponibile degli enti e degli spazi soprastanti o sottostanti il suolo pubblico; b) la diffusione di messaggi pubblicitari, anche abusiva, mediante impianti installati su aree appartenenti al demanio o al patrimonio indisponibile degli enti, su beni privati laddove siano visibili da luogo pubblico o aperto al pubblico del territorio comunale, ovvero all’esterno di veicoli adibiti a uso pubblico o a uso privato.”</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Prendendo atto della volontà di mantenere separati i due presupposti, non vedendo molte alternative nel riunificarli, analizziamo quali modifiche sarebbe utile apportare per le due sezioni.</w:t>
      </w:r>
    </w:p>
    <w:p w:rsidR="00000000" w:rsidDel="00000000" w:rsidP="00000000" w:rsidRDefault="00000000" w:rsidRPr="00000000" w14:paraId="0000002E">
      <w:pPr>
        <w:spacing w:after="240" w:before="240" w:lineRule="auto"/>
        <w:jc w:val="both"/>
        <w:rPr/>
      </w:pPr>
      <w:bookmarkStart w:colFirst="0" w:colLast="0" w:name="_heading=h.gjdgxs" w:id="0"/>
      <w:bookmarkEnd w:id="0"/>
      <w:r w:rsidDel="00000000" w:rsidR="00000000" w:rsidRPr="00000000">
        <w:rPr>
          <w:rtl w:val="0"/>
        </w:rPr>
        <w:t xml:space="preserve">Per quanto riguarda la lettera A, sicuramente andrebbe chiarito come comportarsi con le occupazioni realizzate su aree private soggette a servitù di pubblico passaggio. Argomento su cui il Legislatore ha sorvolato, generando dubbi sulla corretta interpretazione, perché con i precedenti prelievi fu specificato che anche queste aree risultavano attratte nel presupposto, con l’attuale canone invece non è stato esplicitato, generando dubbi. Come mai nella disciplina del Canone Unico le aree private soggette ad uso pubblico non sono state richiamate nel comma dedicato al presupposto per l’applicazione della nuova entrata patrimoniale? È possibile che il Legislatore, a differenza di quanto avveniva con i precedenti prelievi, le abbia volute improvvisamente escludere?</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Come noto la servitù si può realizzare per atto pubblico o privato, per usucapione ventennale ex articolo 1158 del Codice Civile, oppure per la cosiddetta “dicatio ad patriam” cioè per la destinazione all’uso pubblico effettuata dallo stesso proprietario che pone l’area a disposizione della collettività. Si deve in questo caso riscontrare contemporaneamente la volontà del titolare di mettere a disposizione di tutti il proprio bene e l’uso continuo ed indiscriminato del bene stesso da parte della collettività. Questo sostanzialmente quanto stabilito dal Consiglio Stato, sez. V, con la sentenza pronunciata il 21 giugno 2007, n. 3316.</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Tutte le volte che l’area interessata a possibili occupazioni presenta queste caratteristiche, ovvero quando può essere considerata soggetta a pubblico passaggio, sarà necessario procedere con la domanda da parte dell’interessato all’occupazione e al conseguente rilascio del provvedimento di autorizzazione o concessione da parte della Pubblica Amministrazione, che dovrà, in sede di istruttoria, verificarne l’adeguatezza con le norme di sicurezza, viabilità, commercio, arredo e decoro urbano.</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Per quanto riguarda poi l’applicazione del Canone Unico alla fattispecie, si deve riscontrare come l’area privata soggetta ad uso pubblico subisca una naturale attrazione nell'ambito applicativo, dovendo seguire il regime già previsto per le aree demaniali e per quelle appartenenti al patrimonio indisponibile degli enti locali.</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La circostanza che il Legislatore non le abbia formalmente richiamate nel comma 819 della Legge 160/2019 dedicato al presupposto, non deve quindi essere letta come una scelta di esclusione dall'ambito applicativo, ma anzi deve essere valutata come una definitiva e pacifica inclusione.</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Seguendo una analisi giuridica possiamo collocare le servitù pubbliche nell'alveo della disciplina dei beni demaniali. È l'articolo 825 del Codice Civile che, in modo inequivocabile, stabilisce che le aree private gravate da servitù siano soggette al regime del demanio pubblico tutte le volte che i diritti stessi sono costituiti per il conseguimento di fini di pubblico interesse corrispondenti a quelli a cui servono i beni medesimi.</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Come dire, tutte le volte che le cosiddette servitù di uso pubblico, vengono in essere a vantaggio di una collettività indeterminata di persone, debbono sottostare al regime autoritativo previsto per le aree demaniali. La servitù di pubblico passaggio è a tutti gli effetti il diritto reale di godimento spettante alla collettività di transitare liberamente sul bene del privato.</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Pensiamo ad esempio ai portici delle nostre città, aree private di pertinenza dei palazzi sovrastanti, dove giornalmente circolano migliaia di persone, dove spesso la manutenzione, così come l’illuminazione e la pulizia, sono a carico della Pubblica Amministrazione. Che senso avrebbe escludere le occupazioni realizzate da attività commerciali e pubblici esercizi dal pagamento del Canone Unico? E che cosa comporterebbe se queste occupazioni non fossero soggette a rilascio di autorizzazioni da parte del Comune? Chi garantirebbe la sicurezza pubblica? Chi limiterebbe lo spazio occupato per consentire il transito pedonale? Chi verificherebbe le caratteristiche delle installazioni nel contesto dell’arredo urbano?</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Se nella lettera A del presupposto il Legislatore ha dimenticato di richiamare le occupazioni realizzate sulle aree private gravate da servitù pubblica, nella lettera B dedicata alla componente pubblicitaria, il testo normativo presenta invece alcune imperfezioni.</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Certamente infelice l’uso della parola “impianti” per individuare l’oggetto che fa scaturire il presupposto pubblicitario. Gli Impianti rappresentano solo una delle numerose fattispecie che risultano attratte nel presupposto pubblicitario. Ai fini dell’applicazione del canone risulta rilevante qualsiasi iniziativa pubblicitaria che sia rivolta verso il pubblico. In questo senso la giurisprudenza è chiara  e non possiamo limitare il formarsi del presupposto solo quando viene realizzato per mezzo di “impianti”. Diciamo che il termine più appropriato potrebbe essere “mezzi”, termine più generico che può ricomprendere tutte le fattispecie comprese gli impianti pubblicitari.</w:t>
      </w:r>
    </w:p>
    <w:p w:rsidR="00000000" w:rsidDel="00000000" w:rsidP="00000000" w:rsidRDefault="00000000" w:rsidRPr="00000000" w14:paraId="00000038">
      <w:pPr>
        <w:spacing w:after="240" w:before="240" w:lineRule="auto"/>
        <w:jc w:val="both"/>
        <w:rPr>
          <w:i w:val="1"/>
        </w:rPr>
      </w:pPr>
      <w:r w:rsidDel="00000000" w:rsidR="00000000" w:rsidRPr="00000000">
        <w:rPr>
          <w:rtl w:val="0"/>
        </w:rPr>
        <w:t xml:space="preserve">Diciamo poi che la definizione del presupposto della lettera B, poteva meglio descrivere il concetto di diffusione pubblicitaria. In questo senso sarebbe utile una modifica che richiami la definizione comunitaria contenuta nella Direttiva 84/850 del 1984 che considera pubblicità  </w:t>
      </w:r>
      <w:r w:rsidDel="00000000" w:rsidR="00000000" w:rsidRPr="00000000">
        <w:rPr>
          <w:i w:val="1"/>
          <w:rtl w:val="0"/>
        </w:rPr>
        <w:t xml:space="preserve">“Qualsiasi forma di messaggio che sia diffuso, in qualsiasi modo, nell’esercizio di un’attività commerciale, industriale, artigianale o professionale allo scopo di promuovere la vendita di beni mobili o immobili, la costituzione o il trasferimento di diritto ed obblighi su di essi oppure la prestazione di opere e servizi”. </w:t>
      </w:r>
      <w:r w:rsidDel="00000000" w:rsidR="00000000" w:rsidRPr="00000000">
        <w:rPr>
          <w:rtl w:val="0"/>
        </w:rPr>
        <w:t xml:space="preserve">Altrettanto utile richiamare il principio espresso sul tema da parte della Corte di Cassazione, secondo il quale rientra nel presupposto </w:t>
      </w:r>
      <w:r w:rsidDel="00000000" w:rsidR="00000000" w:rsidRPr="00000000">
        <w:rPr>
          <w:i w:val="1"/>
          <w:rtl w:val="0"/>
        </w:rPr>
        <w:t xml:space="preserve">“qualsiasi mezzo di comunicazione con il pubblico, il quale risulti, indipendentemente dalla ragione e finalità della sua adozione, oggettivamente idoneo a far conoscere indiscriminatamente alla massa indeterminata di possibili acquirenti ed utenti il nome o il prodotto dell’azienda”</w:t>
      </w:r>
    </w:p>
    <w:p w:rsidR="00000000" w:rsidDel="00000000" w:rsidP="00000000" w:rsidRDefault="00000000" w:rsidRPr="00000000" w14:paraId="00000039">
      <w:pPr>
        <w:spacing w:after="240" w:before="240" w:lineRule="auto"/>
        <w:jc w:val="both"/>
        <w:rPr>
          <w:i w:val="1"/>
        </w:rPr>
      </w:pPr>
      <w:r w:rsidDel="00000000" w:rsidR="00000000" w:rsidRPr="00000000">
        <w:rPr>
          <w:rtl w:val="0"/>
        </w:rPr>
        <w:t xml:space="preserve">In questo senso, il testo del comma 819, potrebbe essere così riscritto: “Il presupposto del canone è: </w:t>
      </w:r>
      <w:r w:rsidDel="00000000" w:rsidR="00000000" w:rsidRPr="00000000">
        <w:rPr>
          <w:i w:val="1"/>
          <w:rtl w:val="0"/>
        </w:rPr>
        <w:t xml:space="preserve">a) l’occupazione, anche abusiva, delle aree appartenenti al demanio o al patrimonio indisponibile degli enti e degli spazi soprastanti o sottostanti il suolo pubblico. Il canone si applica anche alle occupazioni di spazi ed aree private soggette a servitù di pubblico passaggio. Sono equiparate a tali aree anche i passaggi privati aperti colleganti direttamente due strade comunali ; b) la diffusione di messaggi pubblicitari, anche abusiva, in qualsiasi modo effettuata, su aree appartenenti al demanio o al patrimonio indisponibile degli enti, su beni privati laddove siano visibili da luogo pubblico o aperto al pubblico del territorio comunale, ovvero all’esterno di veicoli adibiti a uso pubblico o a uso privato. Si intendono ricompresi nel presupposto i messaggi diffusi allo scopo di promuovere la domanda e la diffusione di beni e servizi di qualsiasi natura, i messaggi finalizzati a migliorare l'immagine del soggetto pubblicizzato e i mezzi e le forme atte ad indicare il luogo nel quale viene esercitata un'attività. Fermo restante il disposto del comma 818, il canone per l’autorizzazione pubblicitaria è dovuto al Comune in tutti i casi in cui la diffusione di messaggi pubblicitari, anche abusiva avvenga mediante impianti installati su tutto il territorio comunale.”</w:t>
      </w:r>
    </w:p>
    <w:p w:rsidR="00000000" w:rsidDel="00000000" w:rsidP="00000000" w:rsidRDefault="00000000" w:rsidRPr="00000000" w14:paraId="0000003A">
      <w:pPr>
        <w:spacing w:after="240" w:before="240" w:lineRule="auto"/>
        <w:jc w:val="both"/>
        <w:rPr>
          <w:b w:val="1"/>
        </w:rPr>
      </w:pPr>
      <w:r w:rsidDel="00000000" w:rsidR="00000000" w:rsidRPr="00000000">
        <w:rPr>
          <w:b w:val="1"/>
          <w:rtl w:val="0"/>
        </w:rPr>
        <w:t xml:space="preserve">Capitolo 6 – il comma 820. Il principio dell’assorbimento</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Comma particolare con il quale il Legislatore ha voluto riprendere quello che era stato in passato un orientamento della Corte di Cassazione con i precedenti prelievi. Di fatto c’è la volontà di non procedere a doppio prelievo per il medesimo oggetto, dando così la parvenza di un canone veramente unico. La scelta è ricaduta nell'applicare il principio dell’assorbimento del presupposto legato all’occupazione di suolo nel presupposto pubblicitario, che sarà quindi oggetto dell’unica richiesta.</w:t>
      </w:r>
    </w:p>
    <w:p w:rsidR="00000000" w:rsidDel="00000000" w:rsidP="00000000" w:rsidRDefault="00000000" w:rsidRPr="00000000" w14:paraId="0000003C">
      <w:pPr>
        <w:spacing w:after="240" w:before="240" w:lineRule="auto"/>
        <w:jc w:val="both"/>
        <w:rPr>
          <w:i w:val="1"/>
        </w:rPr>
      </w:pPr>
      <w:r w:rsidDel="00000000" w:rsidR="00000000" w:rsidRPr="00000000">
        <w:rPr>
          <w:rtl w:val="0"/>
        </w:rPr>
        <w:t xml:space="preserve">Il testo del comma 820 oggi prevede:</w:t>
      </w:r>
      <w:r w:rsidDel="00000000" w:rsidR="00000000" w:rsidRPr="00000000">
        <w:rPr>
          <w:i w:val="1"/>
          <w:rtl w:val="0"/>
        </w:rPr>
        <w:t xml:space="preserve"> “L’applicazione del canone dovuto per la diffusione dei messaggi pubblicitari di cui alla lettera b) del comma 819 esclude l’applicazione del canone dovuto per le occupazioni di cui alla lettera a) del medesimo comma.”</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il comma troverà applicazione solo quando vi è identità oggettiva e soggettiva. Ovvero quando riferiti ad un impianto pubblicitario che ricade su suolo pubblico, la cui soggettività attiva è riconducibile al medesimo ente. Questi due fattori sono fondamentali per procedere correttamente all’assorbimento dei due presupposti,  che viceversa dovrebbero mantenere la loro autonoma funzione.</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In questo senso è corretto ipotizzare che quando la strada su cui è collocato l’impianto pubblicitario è di competenza della Provincia o della Città Metropolitana e non ricade nelle competenze comunali (interno centro abitato con popolazione superiore a diecimila abitanti), il comma 820 non troverà applicazione e, mentre il Comune riscuote il canone calcolato sulla superficie espositiva, la Provincia o la Città metropolitana riscuoteranno il canone per la superficie relativa l’occupazione del suolo pubblico. Al lato pratico quindi il comma 820 riguarderà potenzialmente solo il Comune, unico soggetto attivo per il presupposto pubblicitario che potrebbe vedere realizzarsi anche il presupposto legato all’occupazione di suolo pubblico su un tratto di strada di sua competenza. Nota a margine, qualora l’ente proprietario della strada su cui ricade l’occupazione dell’impianto non è soggetto attivo CUP (ad esempio ANAS), questi potrà legittimamente richiedere il pagamento del canone ex articolo 27 del Codice della Strada, che come detto in precedenza, non è stato abrogato.</w:t>
      </w:r>
    </w:p>
    <w:p w:rsidR="00000000" w:rsidDel="00000000" w:rsidP="00000000" w:rsidRDefault="00000000" w:rsidRPr="00000000" w14:paraId="0000003F">
      <w:pPr>
        <w:spacing w:after="240" w:before="240" w:lineRule="auto"/>
        <w:jc w:val="both"/>
        <w:rPr>
          <w:i w:val="1"/>
        </w:rPr>
      </w:pPr>
      <w:r w:rsidDel="00000000" w:rsidR="00000000" w:rsidRPr="00000000">
        <w:rPr>
          <w:rtl w:val="0"/>
        </w:rPr>
        <w:t xml:space="preserve">Sul tema si è espressa anche IFEL nella nota di approfondimento del 14 aprile 2021 dedicata al riparto tra Comuni e Province. In quell’occasione scriveva. </w:t>
      </w:r>
      <w:r w:rsidDel="00000000" w:rsidR="00000000" w:rsidRPr="00000000">
        <w:rPr>
          <w:i w:val="1"/>
          <w:rtl w:val="0"/>
        </w:rPr>
        <w:t xml:space="preserve">“il principio dell’assorbimento stabilito dal comma 820 non può che valere nei confronti di un unico soggetto attivo, e quindi solo nei confronti del Comune, unica ipotesi in cui la medesima occupazione può dar luogo sia ad un prelievo collegato all’occupazione sia ad un prelievo collegato alla diffusione di messaggi pubblicitari”</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Per quanto concerne il requisito oggettivo, ovvero la condizione che prevede come il principio di assorbimento debba necessariamente riferirsi al  medesimo oggetto, deve intendersi nel senso che il comma 820, solo sugli impianti pubblicitari può trovare applicazione. Sarebbe infatti sbagliato ipotizzare di applicare il CUP solo sul presupposto pubblicitario quando un'esposizione reclamistica viene diffusa su un elemento che non è un impianto pubblicitario. Ad esempio, se viene installato un ponteggio in area pubblica e sopra le sue campate viene esposto uno striscione pubblicitario, non si potrà realizzare nessun assorbimento. Il ponteggio, in quanto tale dovrà scontare il canone in base all’occupazione, lo striscione sconterà invece  il CUP per la sua superficie espositiva. Stesso concetto e criterio per le pubblicità realizzate su diversi oggetti, come tende solari, ombrelloni, sedie, tavoli, ecc.. tutti elementi che formano il presupposto di cui alla lettera A del comma 819 e che se vengono pubblicizzati dovranno versare il canone anche per la componente pubblicitaria.</w:t>
      </w:r>
    </w:p>
    <w:p w:rsidR="00000000" w:rsidDel="00000000" w:rsidP="00000000" w:rsidRDefault="00000000" w:rsidRPr="00000000" w14:paraId="00000041">
      <w:pPr>
        <w:spacing w:after="240" w:before="240" w:lineRule="auto"/>
        <w:jc w:val="both"/>
        <w:rPr>
          <w:i w:val="1"/>
        </w:rPr>
      </w:pPr>
      <w:r w:rsidDel="00000000" w:rsidR="00000000" w:rsidRPr="00000000">
        <w:rPr>
          <w:rtl w:val="0"/>
        </w:rPr>
        <w:t xml:space="preserve">La potenziale modifica del comma, utile soprattutto a dirimere gli ultimi dubbi sulla sua applicazione,  potrebbe vedere specificato questo necessario duplice requisito, oggettivo e soggettivo. La nuova formulazione potrebbe essere: “</w:t>
      </w:r>
      <w:r w:rsidDel="00000000" w:rsidR="00000000" w:rsidRPr="00000000">
        <w:rPr>
          <w:i w:val="1"/>
          <w:rtl w:val="0"/>
        </w:rPr>
        <w:t xml:space="preserve">L’applicazione del canone dovuto per la diffusione dei messaggi pubblicitari di cui alla lettera b) del comma 819 esclude l’applicazione del canone dovuto per le occupazioni di cui alla lettera a) del medesimo comma, ogni qualvolta un impianto pubblicitario realizza un’occupazione di suolo pubblico di competenza comunale.”</w:t>
      </w:r>
    </w:p>
    <w:p w:rsidR="00000000" w:rsidDel="00000000" w:rsidP="00000000" w:rsidRDefault="00000000" w:rsidRPr="00000000" w14:paraId="00000042">
      <w:pPr>
        <w:spacing w:after="240" w:before="240" w:lineRule="auto"/>
        <w:jc w:val="both"/>
        <w:rPr>
          <w:b w:val="1"/>
        </w:rPr>
      </w:pPr>
      <w:r w:rsidDel="00000000" w:rsidR="00000000" w:rsidRPr="00000000">
        <w:rPr>
          <w:b w:val="1"/>
          <w:rtl w:val="0"/>
        </w:rPr>
        <w:t xml:space="preserve">Capitolo 7 – il comma 821. La disciplina regolamentare</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Un comma particolarmente corposo e centrale nella disciplina della nuova entrata. Il comma che detta le linee guida che gli enti locali devono seguire nella predisposizione del proprio Regolamento. Vero strumento di gestione, senza il quale questa entrata sarebbe ingovernabile.</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Il comma si apre con il richiamo all’articolo 52 del D.Lgs 446/97, articolo così importante in tema di autonomia e potestà regolamentare da parte degli enti locali in materia di proprie entrate. Una forma di autonomia condizionata da vincoli di bilancio e da principi generali che devono accompagnare le decisioni degli organi consiliari nel predisporre la disciplina da adattare alla propria realtà locale.</w:t>
      </w:r>
    </w:p>
    <w:p w:rsidR="00000000" w:rsidDel="00000000" w:rsidP="00000000" w:rsidRDefault="00000000" w:rsidRPr="00000000" w14:paraId="00000045">
      <w:pPr>
        <w:spacing w:after="240" w:before="240" w:lineRule="auto"/>
        <w:jc w:val="both"/>
        <w:rPr>
          <w:i w:val="1"/>
        </w:rPr>
      </w:pPr>
      <w:r w:rsidDel="00000000" w:rsidR="00000000" w:rsidRPr="00000000">
        <w:rPr>
          <w:rtl w:val="0"/>
        </w:rPr>
        <w:t xml:space="preserve">Interessante sulla autonomia riconosciuta agli enti territoriali,  quanto riporta il TAR Lombardia sezione di Brescia, nella sentenza 576 del 10/7/2023:</w:t>
      </w:r>
      <w:r w:rsidDel="00000000" w:rsidR="00000000" w:rsidRPr="00000000">
        <w:rPr>
          <w:i w:val="1"/>
          <w:rtl w:val="0"/>
        </w:rPr>
        <w:t xml:space="preserve">“Trattandosi di corrispettivi e non di tributi, la discrezionalità degli enti locali si esercita entro i più ampi confini dell’autonomia finanziaria di cui all’art. 119 della Costituzione, estesa alle voci di entrata non tributarie.”</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t xml:space="preserve">Concetto di autonomia che deve però equilibrarsi e subordinarsi al rispetto dei principi di ragionevolezza e proporzionalità, oltre a dover risultare soddisfacenti dell’interesse pubblico, senza adottare scelte ingiustificatamente gravose per i contribuenti.</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240" w:before="240" w:lineRule="auto"/>
        <w:jc w:val="both"/>
        <w:rPr/>
      </w:pPr>
      <w:r w:rsidDel="00000000" w:rsidR="00000000" w:rsidRPr="00000000">
        <w:rPr>
          <w:rtl w:val="0"/>
        </w:rPr>
        <w:t xml:space="preserve">Questo devono capire gli amministratori dei nostri enti territoriali, anche quando decidono arbitrariamente di riconoscere esenzioni per particolari fattispecie, dimenticando come l’autonomia e la discrezionalità trovano sempre dei limiti e dei vincoli rappresentati dai principi che il TAR Lazio ha molto bene circostanziati nella sentenza n. 3855/2022. Limiti invisibili a cui dover sottostare quando si redigono regolamenti e impianti tariffari.</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Vengono poi elencati una serie di elementi che dovranno essere disciplinati dagli enti locali. Si tratta di 8 temi che possono rappresentare le diverse sezioni del Regolamento.</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Seguendo la traccia del comma 821 gli enti locali devono ridisegnare le diverse fasi di vita delle entrate sostituite, legare il rilascio degli atti con le richieste di pagamento, informatizzare i processi, efficientare la gestione e la tutela del patrimonio comunale, tutelare il decoro urbano e la sicurezza delle nostre città. E inoltre: contemperare gli interessi della collettività con i benefici economici delle iniziative private, dotarsi di un impianto tariffario giusto, chiaro ed equilibrato. Il regolamento deve essere un abito su misura che si modella al territorio, all'organizzazione comunale, al tessuto economico e solo così il nuovo Canone unico può considerarsi una giusta opportunità per i Comuni, le Province e le Città Metropolitane.</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Analizziamo i diversi temi che devono trovare disciplina nel regolamento, dicendo subito che questo comma, a differenza di altri, si dimostra in generale chiaro e piuttosto puntuale, con solo alcune carenze e inciampi. Analizziamo i singoli punti definiti dal Legislatore: </w:t>
      </w:r>
    </w:p>
    <w:p w:rsidR="00000000" w:rsidDel="00000000" w:rsidP="00000000" w:rsidRDefault="00000000" w:rsidRPr="00000000" w14:paraId="0000004B">
      <w:pPr>
        <w:spacing w:after="240" w:before="240" w:lineRule="auto"/>
        <w:jc w:val="both"/>
        <w:rPr/>
      </w:pPr>
      <w:r w:rsidDel="00000000" w:rsidR="00000000" w:rsidRPr="00000000">
        <w:rPr>
          <w:i w:val="1"/>
          <w:rtl w:val="0"/>
        </w:rPr>
        <w:t xml:space="preserve">“a) le procedure per il rilascio delle concessioni per l’occupazione di suolo pubblico e delle autorizzazioni all’installazione degli impianti pubblicitari”.</w:t>
      </w:r>
      <w:r w:rsidDel="00000000" w:rsidR="00000000" w:rsidRPr="00000000">
        <w:rPr>
          <w:rtl w:val="0"/>
        </w:rPr>
        <w:t xml:space="preserve"> </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Con questo passaggio il Legislatore chiede agli enti locali, ciascuno per le proprie competenze territoriali, di definire le procedure operative che regolino la fase amministrativa del nuovo Canone. Rispetto al passato questa diventa una fase fondamentale, proprio perché il Legislatore ha voluto legare indissolubilmente la fase di rilascio delle concessioni e delle autorizzazioni con quella di riscossione dell’entrata.</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L'avvento del Canone unico ha infatti  portato diverse novità nella gestione dei prelievi dedicati alle occupazioni di suolo pubblico e alle iniziative pubblicitarie. Una delle più rilevanti è senza dubbio rappresentata proprio dal forte legame voluto dal legislatore tra la fase amministrativa di rilascio con la gestione propria del canone. Novità assoluta nella storia dei cosiddetti tributi minori, che vedevano le attività legate alla liquidazione, accertamento e riscossione dell'entrata totalmente svincolate dall'azione amministrativa.</w:t>
      </w:r>
    </w:p>
    <w:p w:rsidR="00000000" w:rsidDel="00000000" w:rsidP="00000000" w:rsidRDefault="00000000" w:rsidRPr="00000000" w14:paraId="0000004E">
      <w:pPr>
        <w:spacing w:after="240" w:before="240" w:lineRule="auto"/>
        <w:jc w:val="both"/>
        <w:rPr>
          <w:i w:val="1"/>
        </w:rPr>
      </w:pPr>
      <w:r w:rsidDel="00000000" w:rsidR="00000000" w:rsidRPr="00000000">
        <w:rPr>
          <w:i w:val="1"/>
          <w:rtl w:val="0"/>
        </w:rPr>
        <w:t xml:space="preserve">b) l’individuazione delle tipologie di impianti pubblicitari autorizzabili e di quelli vietati nell’ambito comunale, nonché il numero massimo degli impianti autorizzabili per ciascuna tipologia o la relativa superficie;</w:t>
      </w:r>
    </w:p>
    <w:p w:rsidR="00000000" w:rsidDel="00000000" w:rsidP="00000000" w:rsidRDefault="00000000" w:rsidRPr="00000000" w14:paraId="0000004F">
      <w:pPr>
        <w:spacing w:after="240" w:before="240" w:lineRule="auto"/>
        <w:jc w:val="both"/>
        <w:rPr>
          <w:i w:val="1"/>
        </w:rPr>
      </w:pPr>
      <w:r w:rsidDel="00000000" w:rsidR="00000000" w:rsidRPr="00000000">
        <w:rPr>
          <w:i w:val="1"/>
          <w:rtl w:val="0"/>
        </w:rPr>
        <w:t xml:space="preserve">c) i criteri per la predisposizione del piano generale degli impianti pubblicitari, obbligatorio solo per i comuni superiori ai 20.000 abitanti, ovvero il richiamo al piano medesimo, se già adottato dal comune;</w:t>
      </w:r>
    </w:p>
    <w:p w:rsidR="00000000" w:rsidDel="00000000" w:rsidP="00000000" w:rsidRDefault="00000000" w:rsidRPr="00000000" w14:paraId="00000050">
      <w:pPr>
        <w:spacing w:after="240" w:before="240" w:lineRule="auto"/>
        <w:jc w:val="both"/>
        <w:rPr>
          <w:i w:val="1"/>
        </w:rPr>
      </w:pPr>
      <w:r w:rsidDel="00000000" w:rsidR="00000000" w:rsidRPr="00000000">
        <w:rPr>
          <w:rtl w:val="0"/>
        </w:rPr>
        <w:t xml:space="preserve"> </w:t>
      </w:r>
      <w:r w:rsidDel="00000000" w:rsidR="00000000" w:rsidRPr="00000000">
        <w:rPr>
          <w:i w:val="1"/>
          <w:rtl w:val="0"/>
        </w:rPr>
        <w:t xml:space="preserve">d) la superficie degli impianti destinati dal comune al servizio delle pubbliche affissioni;</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Con questi tre passaggi il Legislatore invece richiama l’attenzione degli enti sull’importanza della programmazione e della gestione del territorio in ordine alla presenza di impianti pubblicitari e di pubbliche affissioni, nell’ambito comunale. Perché la realizzazione di un Piano consente di regolamentare la distribuzione degli impianti pubblicitari sul territorio di competenza, al fine di razionalizzare il posizionamento dei manufatti nel rispetto delle prescrizioni e dei vincoli imposti dai vigenti strumenti urbanistici Comunali e dalle norme generali in materia di installazioni pubblicitarie.</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Il piano oltre ad individuare i parametri distributivi deve indicare i dettami generali relativamente alle tipologie dei manufatti consentiti ed alle superfici massime ammissibili per tipologia. Il Piano deve inoltre identificare, coerentemente con gli indirizzi generali, alcune finalità qualificanti, con particolare riguardo ai temi della sicurezza, riferita alla mobilità in generale (pedonale e veicolare), con attenzione sia agli aspetti più specificamente visivi sia a quelli di tipo antinfortunistico; del decoro e della compatibilità ambientale,  con l’intento di evitare che nel rapporto tra pubblicità e ambiente quest’ultimo non debba essere penalizzato, ma, al contrario, possa trovare giovamento dall’inserimento di mezzi pubblicitari, progettati, costruiti e localizzati secondo criteri di compatibilità ambientale; della funzionalità, intesa anzitutto come occasione di aumento della fruibilità del contesto cittadino, laddove il Piano, oltre a governare l’esistente e le forme tradizionali di pubblicità, si pone come strumento di indirizzo, disciplinando l’inserimento di mezzi pubblicitari di concezione più moderna associati a funzioni di pubblica utilità oppure a elementi di arredo urbano. Il Piano deve prendere atto della delimitazione dei “centri abitati” e disciplinare, all’interno di tale delimitazione, l’inserimento sia permanente che temporaneo degli impianti pubblicitari siano essi pubblici o privati. Gli impianti pubblicitari posti fuori dei centri abitati saranno invece regolamentati dal D.P.R. n.495/1992 e s.m. (Regolamento di attuazione del nuovo codice della strada). </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Per tutto questo il Legislatore correttamente richiama l’importanza di dotarsi di regole che garantiscano la gestione degli impianti pubblicitari sul territorio.</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Anche per la  giustizia amministrativa e, segnatamente, per il Consiglio di Stato, il PGIP - Piano generale degli Impianti Pubblicitari,  al pari del Piano di Massima Occupabilità, ha natura pianificatoria di carattere generale e si tratta di uno strumento urbanistico obbligatorio che dovrebbe porsi l’obiettivo, minimo, di contemperare i diversi interessi in campo, da un lato quello di consentire la comunicazione pubblicitaria e promozionale a garanzia delle libertà economiche e, dall’altro, quello di evitare uno sviluppo disarmonico ed incontrollato della stessa nella tutela di bellezze artistiche, architettoniche e di decoro urbano.</w:t>
      </w:r>
    </w:p>
    <w:p w:rsidR="00000000" w:rsidDel="00000000" w:rsidP="00000000" w:rsidRDefault="00000000" w:rsidRPr="00000000" w14:paraId="00000055">
      <w:pPr>
        <w:spacing w:after="240" w:before="240" w:lineRule="auto"/>
        <w:jc w:val="both"/>
        <w:rPr>
          <w:i w:val="1"/>
        </w:rPr>
      </w:pPr>
      <w:r w:rsidDel="00000000" w:rsidR="00000000" w:rsidRPr="00000000">
        <w:rPr>
          <w:i w:val="1"/>
          <w:rtl w:val="0"/>
        </w:rPr>
        <w:t xml:space="preserve">e) la disciplina delle modalità di dichiarazione per particolari fattispecie;</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La richiesta del Legislatore di inserire le modalità di dichiarazione, nasce dal presupposto che la nuova entrata non sarà più fondata sulle dichiarazioni, trovando viceversa diretto e univoco riferimento negli atti amministrativi di concessione e autorizzazione. Tuttavia esistono delle ipotesi residuali per le quali è necessario prevedere ancora l’utilizzo di questo istituto, ovvero per tutte quelle fattispecie che rientrano nel presupposto applicativo ma che non necessitano di specifica concessione o autorizzazione. Per queste il regolamento comunale dovrà individuarle e  fissare i criteri per poter garantire una corretta gestione.</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si è reso necessario così predisporre un articolo per individuare e circoscrivere tutte le diverse fattispecie, che per caratteristiche non saranno soggette agli obblighi amministrativi previsti dal Codice della strada, mentre dovranno comunque sottostare alla disciplina del nuovo canone, così come già avveniva in regime di imposta sulla pubblicità. Si tratta sostanzialmente di fattispecie legate al presupposto pubblicitario, come l'esposizione di locandine quando visibili dall'esterno, la distribuzione di volantini, la pubblicità fonica e di quella realizzata su veicoli, la pubblicità realizzata sulle vetrine quando non rinvenibile direttamente dalla strada, oltre ai cartelli «vendesi» e «affittasi» degli immobili sui quali sono affissi quando di dimensioni modeste.</w:t>
      </w:r>
    </w:p>
    <w:p w:rsidR="00000000" w:rsidDel="00000000" w:rsidP="00000000" w:rsidRDefault="00000000" w:rsidRPr="00000000" w14:paraId="00000058">
      <w:pPr>
        <w:spacing w:after="240" w:before="240" w:lineRule="auto"/>
        <w:jc w:val="both"/>
        <w:rPr>
          <w:i w:val="1"/>
        </w:rPr>
      </w:pPr>
      <w:r w:rsidDel="00000000" w:rsidR="00000000" w:rsidRPr="00000000">
        <w:rPr>
          <w:rtl w:val="0"/>
        </w:rPr>
        <w:t xml:space="preserve">A queste si aggiungono tutte quelle pubblicità effettuate all'interno di luoghi aperti al pubblico quali ad esempio, stadi, impianti sportivi, cinema, teatri e centri commerciali, dove l'esposizione risulta indubbiamente soggetta al pagamento del canone, ma estranea all'autorizzazione perché non visibile direttamente dalla pubblica via. Sarà il regolamento dell'ente locale lo strumento operativo indispensabile che andrà a stabilire fattispecie, forma e tempi per permettere al soggetto passivo di ottemperare ai propri obblighi.</w:t>
      </w:r>
      <w:r w:rsidDel="00000000" w:rsidR="00000000" w:rsidRPr="00000000">
        <w:rPr>
          <w:rtl w:val="0"/>
        </w:rPr>
      </w:r>
    </w:p>
    <w:p w:rsidR="00000000" w:rsidDel="00000000" w:rsidP="00000000" w:rsidRDefault="00000000" w:rsidRPr="00000000" w14:paraId="00000059">
      <w:pPr>
        <w:spacing w:after="240" w:before="240" w:lineRule="auto"/>
        <w:jc w:val="both"/>
        <w:rPr>
          <w:i w:val="1"/>
        </w:rPr>
      </w:pPr>
      <w:r w:rsidDel="00000000" w:rsidR="00000000" w:rsidRPr="00000000">
        <w:rPr>
          <w:i w:val="1"/>
          <w:rtl w:val="0"/>
        </w:rPr>
        <w:t xml:space="preserve">f) le ulteriori esenzioni o riduzioni rispetto a quelle disciplinate dai commi da 816 a 847;</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Con questa indicazione il Legislatore indica in modo esplicito che gli enti locali potranno prevedere, nell’ambito del territorio di loro competenza, delle ipotesi di esenzioni e riduzioni ulteriori rispetto a quelle già definite per Legge. In forza dell’autonomia riconosciuta loro dall’articolo 52 del D.Lgs 446/97, gli enti territoriali potranno quindi legittimamente adottare specifiche misure agevolative da riconoscere a fattispecie. Peraltro, con l'introduzione della nuova entrata, il Legislatore ha voluto assicurare un'ampia facoltà di manovra agli enti locali qualificando il prelievo come "patrimoniale". Ma qual è il limite entro il quale le Pubbliche Amministrazioni locali possono operare?</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E proprio questo aspetto, è stato messo sotto la lente del TAR Lazio, perché se è vero che Comuni, Province e Città Metropolitane godono di un’ampia potestà regolamentare e autonomia in materia di proprie entrate, è altrettanto vero che è sempre necessario rispettare alcuni principi fondamentali che non possono essere ignorati, neppure nel disciplinare le proprie entrate di natura patrimoniale.</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In questo senso anche il Canone Unico rappresenta una prestazione imposta che non potrà sottrarsi dal rispetto dei principi costituzionali contenuti negli articoli 23, 53 e 119 della Costituzione.</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In generale, le amministrazioni locali, devono gestire l’entrata tra il rispetto degli equilibri di bilancio, e la definizione di tariffe e agevolazioni che tengano conto, tra l’altro, dei principi di beneficio economico (a favore di chi occupa il suolo pubblico o espone pubblicità) e del sacrificio che si impone alla collettività (per la presenza di queste occupazioni o esposizioni pubblicitarie), diventa fondamentale motivare ogni modifica rispetto alla disciplina e alle tariffe base definite dal Legislatore. Il caso oggetto della sentenza emessa dal TAR Lazio, ha dimostrato come il percorso logico motivazionale che ha portato a fissare tariffe diverse rispetto a quanto stabilito dal Legislatore, doveva essere adeguatamente motivato. Per poter sostenere la propria legittima posizione e potestà in materia di proprie entrate occorre predisporre un iter istruttorio che consenta di spiegare e motivare le scelte adottate nel proprio territorio di competenza.</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Il potere discrezionale e l’autonomia impositiva degli enti locali devono essere subordinati al rispetto dei principi di ragionevolezza e proporzionalità, devono risultare satisfattive dell’interesse pubblico e non ingiustificatamente gravose, o troppo vantaggiose,  per i contribuenti.</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Questo devono capire gli amministratori dei nostri enti territoriali, anche quando decidono arbitrariamente di riconoscere esenzioni per particolari fattispecie, dimenticando come l’autonomia e la discrezionalità trovano sempre dei limiti e dei vincoli rappresentati dai principi che il TAR Lazio ha molto bene circostanziati nella sentenza n. 3855/2022. Limiti invisibili a cui dover sottostare quando si redigono regolamenti e impianti tariffari.</w:t>
      </w:r>
    </w:p>
    <w:p w:rsidR="00000000" w:rsidDel="00000000" w:rsidP="00000000" w:rsidRDefault="00000000" w:rsidRPr="00000000" w14:paraId="00000060">
      <w:pPr>
        <w:spacing w:after="240" w:before="240" w:lineRule="auto"/>
        <w:jc w:val="both"/>
        <w:rPr>
          <w:i w:val="1"/>
        </w:rPr>
      </w:pPr>
      <w:r w:rsidDel="00000000" w:rsidR="00000000" w:rsidRPr="00000000">
        <w:rPr>
          <w:i w:val="1"/>
          <w:rtl w:val="0"/>
        </w:rPr>
        <w:t xml:space="preserve">g) per le occupazioni e la diffusione di messaggi pubblicitari realizzate abusivamente, la previsione di un’indennità pari al canone maggiorato fino al 50 per cento, considerando permanenti le occupazioni e la diffusione di messaggi pubblicitari realizzate con impianti o manufatti di carattere stabile e presumendo come temporanee le occupazioni e la diffusione di messaggi pubblicitari effettuate dal trentesimo giorno antecedente la data del verbale di accertamento, redatto da competente pubblico ufficiale;</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Comma fondamentale nella gestione delle occupazioni ed esposizioni abusive o difformi rispetto al titolo amministrativo rilasciato. Sulla base della lettera G e della successiva lettera H, gli enti locali devono prevedere nel proprio regolamento le regole per l’accertamento e per le maggiorazioni da applicare per il recupero del dovuto, ogni qual volta venga rilevato un abuso.</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Il concetto di indennità deriva dalla disciplina COSAP, in particolare trova origine dalla lettera G del comma 2 dell’articolo 63 del D. Lgs 446/97. Il canone, a differenza dei regimi tributari, è strettamente vincolato al rilascio di un atto amministrativo di concessione o di autorizzazione, così che, tutte le volte che siamo di fronte ad una occupazione di suolo pubblico abusiva o ad una esposizione pubblicitaria senza titolo, diventa illogico parlare di canone. Si è voluto pertanto prevedere una diversa voce, l’indennità appunto, da utilizzare tutte le volte che si deve richiedere il pagamento derivante proprio dall’occupazione o dall’esposizione pubblicitaria abusiva o difforme rispetto al titolo.</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Il Legislatore in questo senso ha previsto a carico di chi realizza un abuso, un’obbligazione patrimoniale che sia quanto meno uguale a quella che avrebbero pagato se avesse richiesto la concessione o l’autorizzazione all’ente competente. Il legislatore ha previsto di più, dando la possibilità agli enti di definire l’importo dell’indennità maggiorando fino al 50 per cento rispetto a quanto avviene con le tariffe del canone ordinario.</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L’indennità come detto si innesca nel momento in cui si deve calcolare il dovuto per un’occupazione di suolo pubblico abusiva, ovvero senza concessione, o con destinazione d’uso diversa da quella prevista in concessione, oppure per una diffusione di messaggi pubblicitari realizzata senza la preventiva autorizzazione, ovvero risultanti non conformi alle condizioni stabilite dall'autorizzazione per forma, contenuto, dimensioni, sistemazione o ubicazione.</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L’indennità si deve applicare anche nei casi di occupazioni o esposizioni pubblicitarie per le quali non è previsto il rilascio dell’autorizzazione? In questi casi, la mancata dichiarazione fa scattare, la sanzione amministrativa pecuniaria di cui alla lettera H e il calcolo dell’indennità? Oppure, visto che non vi è a monte nessun atto di concessione o di autorizzazione è possibile richiedere il pagamento del canone non versato con applicazione della sanzione prevista dal Regolamento per l’omessa dichiarazione?</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Su questo interrogativo non vi è uniformità di visione, del resto il testo del comma G non lo chiarisce; tuttavia, pur rimanendo un profilo di incertezza, si può ritenere che il calcolo dell’indennità sia riservato a quelle occupazioni abusive o difformi rispetto all’atto amministrativo, prevedendo invece, per le fattispecie regolate solo dalla dichiarazione di cui alla lettera E del comma 821, la richiesta di pagamento del canone e della relativa sanzione.</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Il Legislatore nel punto G ha dettato anche il criterio di calcolo da adottare quando ci troviamo di fronte ad una occupazione/esposizione abusiva, chiarendo che per le occupazioni e la diffusione di messaggi pubblicitari realizzate con impianti o manufatti di carattere stabile, si dovrà partire dalla tariffa permanente, ovvero quella definita ad anno solare, il cui importo è stato fissato al comma 826, ma che ogni ente potrà modificare in base ai propri equilibri, mentre, per le occupazioni temporanee, il Legislatore ha adottato un criterio di calcolo basato su una finzione giuridica, ovvero ipotizzando l’occupazione o l’esposizione pubblicitaria temporanea come se fosse stata realizzata nei trenta giorni antecedenti a quella del verbale di accertamento.</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Una misura che deve intendersi come modalità di calcolo afflittiva nei confronti del trasgressore che ha occupato/esposto abusivamente. Un metodo di calcolo che si rende necessario per non svilire l’attività di accertamento che viceversa dovrebbe eseguirsi solo per la data in cui è stata accertata l’occupazione o l’esposizione pubblicitaria abusiva. Quindi, a tutti gli effetti, una misura afflittiva al fine di prevenire l’evento contrario all’ordinamento cui si riferiscono, e risarcitoria per il danno procurato alla P.A. e alla collettività.</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Su questo tema si è aperto tuttavia un dibattito, perché se è corretto e pacifico prevedere di calcolare il dovuto per una occupazione o esposizione temporanea applicando il calcolo di 30 giorni, è da valutare se in sede di contraddittorio con il contribuente, la misura possa o meno essere rettificata davanti ad una prova documentale o testimoniale che porti a definire inequivocabilmente una durata inferiore ai 30 giorni stabiliti dal legislatore. Diventa dirimente il tipo di presunzione derivante dal verbale di accertamento. Potrebbero infatti porsi profili di criticità tra presunzione iuris et de iure, che non ammette prova contraria, e iuris tantum, che invece la ammette.</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Da una parte chi ritiene che la scelta del Legislatore sia legata meramente ad un criterio di calcolo. Un utilizzo del conteggio per 30 giorni senza alcuna effettiva presunzione sulla effettiva durata, ma basandosi solamente sulla presenza dell’abuso quel determinato giorno individuato nel verbale del pubblico ufficiale. In questo caso eventuali prove sull’effettiva durata dell’occupazione non sarebbero oggetto di valutazione o possibile rettifica del provvedimento emesso. Dall’altra invece chi ritiene che l’accertamento si basi su una effettiva presunzione di occupazione, e il calcolo dei 30 giorni deriva proprio da questo, e di conseguenza si tratti di una cosiddetta presunzione iuris tantum e quindi soggetta a prova contraria.</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Infine, il Legislatore dispone che per applicare il punto G e quindi l’indennità servirà un verbale di accertamento redatto da Pubblico Ufficiale.</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Nell’ambito della disciplina del Canone Unico Patrimoniale una delle novità più interessanti è proprio rappresentata dal ruolo assegnato alla figura del Pubblico Ufficiale per quanto riguarda l’attività legata alla vigilanza sul territorio.</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Le figure di Pubblico Ufficiale che possono legittimamente dedicarsi alle disposizioni contenute nel comma 821 della Legge 160/2019, e in generale dedicate alla attività di rilevazione sul territorio dei possibili abusi realizzati in materia di occupazioni e di esposizioni pubblicitarie, sono essenzialmente due, l’Agente di Polizia Locale e l’Accertatore delle Entrate, quest’ultima figura prevista e istituita dalla Legge 296 del 2006 con poteri e stutus sovrapponibile in materia di entrate all’agente della municipale.</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Il Legislatore, già con la Legge Finanziaria del 2007 istituiva quindi una specifica figura di pubblico ufficiale dedicato all’ufficio entrate dell’ente locale. Una figura qualificata, con specifiche competenze in materia di entrate, che va ad integrare l’attività svolta dall’agente di Polizia Locale, tipicamente impegnato sulle violazioni al Codice della Strada. Nell’istituire questa nuova figura, viene conferita al personale dell’ente individuato, la capacità di redigere e sottoscrivere verbali di accertamento per le violazioni che vengono commesse nell’ambito del territorio di competenza dell’ente locale. Lo specifico richiamo alle disposizioni dell'articolo 68, comma 1, della legge 23 dicembre 1999, n. 488, consente di valutare l’operato dell’accertatore proprio con le caratteristiche tipiche del pubblico ufficiale che adotta atti conformi al disposto dell’articolo 2699 del Codice Civile, dove si stabilisce come l'atto pubblico è il documento redatto, con le richieste formalità, da un notaio o da altro pubblico ufficiale autorizzato ad attribuirgli pubblica fede nel luogo dove l'atto è formato. Il successivo articolo 2700, prevede poi che l'atto pubblico faccia piena prova, fino a querela di falso, della provenienza del documento dal pubblico ufficiale che lo ha formato, nonché delle dichiarazioni delle parti e degli altri fatti che il pubblico ufficiale attesta avvenuti in sua presenza o da lui compiuti.</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In materia di Canone Unico, gli accertatori delle entrate diventano così figure indispensabili nelle attività di vigilanza e presidio del territorio, chiamati a verificare le occupazioni di suolo pubblico e le esposizioni pubblicitarie effettuate abusivamente o in difformità rispetto al titolo rilasciato. Nello svolgimento delle loro attività possono procedere a rilievi segnaletici, descrittivi e fotografici e ad ogni altra operazione tecnica necessaria. È consentito loro di servirsi di mezzi di indagine capaci di conservare memoria di ciò che hanno visto. Possono quindi ricorrere al rilievo fotografico per fissare in un documento “dato oggettivo" l'illecito constatato. Attività chiaramente compatibile con quanto richiesto dalla lettera G del comma 821.</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Detto dell’importanza di queste due figure di pubblico ufficiale, nell’ambito della disciplina CUP, si deve precisare che la rilevazione sul territorio, può essere ancora effettuata da diverso personale incaricato e formato in materia. Tuttavia, in questo caso, viene meno quella tutela dell’ente che risulta viceversa garantita dallo svolgimento dell’attività svolta con la qualifica di Pubblico Ufficiale. Nell’ambito della gestione dell’entrata, gli uffici spesso adottano un giusto mix di attività, una parte da svolgere sicuramente con i formalismi del verbale di accertamento, con tempi di lavorazione piuttosto impegnativi, mentre in diverse situazioni espletano le attività di rilevazione sul territorio utilizzando personale incaricato che, seppur non in veste di pubblico ufficiale può rilevare situazioni attratte nel presupposto applicativo del canone.</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È quindi ancora possibile, così come avveniva con i precedenti prelievi, attivare le procedure legate alla fase di accertamento del canone senza un verbale redatto con la qualifica di pubblico ufficiale? La risposta è senz’altro positiva. È possibile oggi accertare una violazione sulla base di un rilievo da parte di un soggetto incaricato, anche se sprovvisto del titolo di accertatore delle entrate, tuttavia questo comporta alcune importanti limitazioni, molto più evidenti con il nuovo regime del Canone Unico.</w:t>
      </w:r>
    </w:p>
    <w:p w:rsidR="00000000" w:rsidDel="00000000" w:rsidP="00000000" w:rsidRDefault="00000000" w:rsidRPr="00000000" w14:paraId="00000072">
      <w:pPr>
        <w:spacing w:after="240" w:before="240" w:lineRule="auto"/>
        <w:jc w:val="both"/>
        <w:rPr>
          <w:i w:val="1"/>
        </w:rPr>
      </w:pPr>
      <w:r w:rsidDel="00000000" w:rsidR="00000000" w:rsidRPr="00000000">
        <w:rPr>
          <w:i w:val="1"/>
          <w:rtl w:val="0"/>
        </w:rPr>
        <w:t xml:space="preserve">h) le sanzioni amministrative pecuniarie di importo non inferiore all’ammontare del canone o dell’indennità di cui alla lettera g) del presente comma, né superiore al doppio dello stesso, ferme restando quelle stabilite degli articoli 20, commi 4 e 5, e 23 del codice della strada, di cui al decreto legislativo 30 aprile 1992, n. 285.</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L’ultimo punto è dedicato al regime sanzionatorio. Tra tutti i punti del comma 821 dedicati al contenuto dei Regolamenti degli enti locali, questo è quello che necessiterebbe davvero di una importante rivisitazione. Perché il Legislatore si è limitato a definire una generica sanzione pecuniaria il cui calcolo è ricondotto all’importo del canone o dell’indennità, senza specificare in quali contesti debba essere applicata.</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Trattandosi di entrata patrimoniale e quindi extra tributaria, non potranno trovare le sanzioni disposte dai d.lgs 471, 472 e 473 del 1997, in particolare non potrà essere applicata la sanzione per l’omesso versamento fissata dal legilslatore nella misura del 30 per cento del tributo non versato o versato tardivamente.</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L’estensore della norma, forse ha sottovalutato la casistica dell’omesso versamento tra le violazioni possibili in ambito CUP. Tuttavia è evidente come possa frequentemente verificarsi per le occupazioni e le esposizioni pubblicitarie a carattere pluriennali.</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Stante il testo normativo che non affronta le diverse possibili violazioni, gli enti hanno disciplinato nel proprio regolamento le diverse sanzioni applicabili, seguendo due diverse linee di pensiero. Da una parte chi si è affidato alla disciplina fissata dalla Legge 689/81 per le violazioni amministrative, dall’altra chi, partendo dall’unica sanzione prevista dal Legislatore alla lettera H del comma 821, ha disposto una diversa  percentuale da applicare alla violazione per omesso versamento.</w:t>
      </w:r>
    </w:p>
    <w:p w:rsidR="00000000" w:rsidDel="00000000" w:rsidP="00000000" w:rsidRDefault="00000000" w:rsidRPr="00000000" w14:paraId="00000077">
      <w:pPr>
        <w:jc w:val="both"/>
        <w:rPr>
          <w:b w:val="1"/>
        </w:rPr>
      </w:pPr>
      <w:r w:rsidDel="00000000" w:rsidR="00000000" w:rsidRPr="00000000">
        <w:rPr>
          <w:rtl w:val="0"/>
        </w:rPr>
        <w:t xml:space="preserve">Sul tema dell’omesso versamento si espresso il Dipartimento del MEF nell’ambito delle risposte fornite a Telefisco, secondo il quale non si applica la previsione indennitaria di cui alla lettera g) del comma 821, ma solo la sanzione prevista dalla lettera h), stabilita in misura non inferiore all’ammontare del canone, né superiore al doppio dello stesso, ferme restando quelle stabilite dagli articoli 20, commi 4 e 5, e 23 del Codice della strada. Non si potrebbe quindi  prendere in considerazione la sanzione di cui all’articolo 7-bis del Dlgs 267 del 2000 ( sanzione amministrativa pecuniaria da 25 euro a 500 euro</w:t>
      </w:r>
      <w:r w:rsidDel="00000000" w:rsidR="00000000" w:rsidRPr="00000000">
        <w:rPr>
          <w:b w:val="1"/>
          <w:rtl w:val="0"/>
        </w:rPr>
        <w:t xml:space="preserve">).</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È importante in questo senso, e seguendo la linea tracciata dal MEF, porre l’attenzione sulla possibilità per le Pubbliche Amministrazioni di definire  una corretta misura della sanzione amministrativa di cui alla lettera H.  i Comuni, nell'esercizio della potestà regolamentare prevista in materia di disciplina delle proprie entrate, anche tributarie, possono infatti prevedere, in ottemperanza all’articolo 50 del D.Lgs 449/97, specifiche disposizioni volte a semplificare e razionalizzare il procedimento di accertamento, compresa la possibilità di riduzione delle sanzioni in conformità con i principi desumibili dall'articolo 3, comma 133, lettera l), della Legge 23 dicembre 1996, n. 662, in quanto compatibili. Per questo motivo è corretto ipotizzare una sanzione amministrativa per omesso versamento calcolata nella misura del 30% del canone non versato.</w:t>
      </w:r>
    </w:p>
    <w:p w:rsidR="00000000" w:rsidDel="00000000" w:rsidP="00000000" w:rsidRDefault="00000000" w:rsidRPr="00000000" w14:paraId="0000007A">
      <w:pPr>
        <w:jc w:val="both"/>
        <w:rPr/>
      </w:pPr>
      <w:r w:rsidDel="00000000" w:rsidR="00000000" w:rsidRPr="00000000">
        <w:rPr>
          <w:rtl w:val="0"/>
        </w:rPr>
        <w:t xml:space="preserve">Fatte queste considerazioni possiamo ipotizzare la seguente integrazione della lettera H del comma 821: “</w:t>
      </w:r>
      <w:r w:rsidDel="00000000" w:rsidR="00000000" w:rsidRPr="00000000">
        <w:rPr>
          <w:i w:val="1"/>
          <w:rtl w:val="0"/>
        </w:rPr>
        <w:t xml:space="preserve">Nei casi di tardivo o mancato pagamento di canoni la sanzione di cui alla lettera H del comma 821 dell’articolo 1 della Legge 160/2019 viene fissata nella misura   30% del canone non versato o versato parzialmente o versato  in modo tardivo, in  ossequio al principio generale sancito dall’art. 50, della legge n. 449 del 1997. Alle altre violazioni delle disposizioni contenute nel Regolamento, consegue l’applicazione della sanzione amministrativa pecuniaria da € 25,00 a € 500,00, di cui all’articolo 7 bis del D. lgs. 267/2000</w:t>
      </w:r>
      <w:r w:rsidDel="00000000" w:rsidR="00000000" w:rsidRPr="00000000">
        <w:rPr>
          <w:rtl w:val="0"/>
        </w:rPr>
      </w:r>
    </w:p>
    <w:p w:rsidR="00000000" w:rsidDel="00000000" w:rsidP="00000000" w:rsidRDefault="00000000" w:rsidRPr="00000000" w14:paraId="0000007B">
      <w:pPr>
        <w:spacing w:after="240" w:before="240" w:lineRule="auto"/>
        <w:jc w:val="both"/>
        <w:rPr>
          <w:b w:val="1"/>
        </w:rPr>
      </w:pPr>
      <w:r w:rsidDel="00000000" w:rsidR="00000000" w:rsidRPr="00000000">
        <w:rPr>
          <w:b w:val="1"/>
          <w:rtl w:val="0"/>
        </w:rPr>
        <w:t xml:space="preserve">Capitolo 8 – il comma 822. La procedura rimozione</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Un comma per certi aspetti sorprendenti. Il Legislatore ha voluto con questa disposizione rafforzare il ruolo degli enti locali nella lotta all’abusivismo, integrando le procedure già definite nel Codice della strada agli articoli 20 e 23, con questo comma 822. </w:t>
      </w:r>
    </w:p>
    <w:p w:rsidR="00000000" w:rsidDel="00000000" w:rsidP="00000000" w:rsidRDefault="00000000" w:rsidRPr="00000000" w14:paraId="0000007D">
      <w:pPr>
        <w:spacing w:after="240" w:before="240" w:lineRule="auto"/>
        <w:jc w:val="both"/>
        <w:rPr>
          <w:i w:val="1"/>
        </w:rPr>
      </w:pPr>
      <w:r w:rsidDel="00000000" w:rsidR="00000000" w:rsidRPr="00000000">
        <w:rPr>
          <w:rtl w:val="0"/>
        </w:rPr>
        <w:t xml:space="preserve">Il testo recita: </w:t>
      </w:r>
      <w:r w:rsidDel="00000000" w:rsidR="00000000" w:rsidRPr="00000000">
        <w:rPr>
          <w:i w:val="1"/>
          <w:rtl w:val="0"/>
        </w:rPr>
        <w:t xml:space="preserve">“Gli enti procedono alla rimozione delle occupazioni e dei mezzi pubblicitari privi della prescritta concessione o autorizzazione o effettuati in difformità dalle stesse o per i quali non sia stato eseguito il pagamento del relativo canone, nonché all’immediata copertura della pubblicità in tal modo effettuata, previa redazione di processo verbale di constatazione redatto da competente pubblico ufficiale, con oneri derivanti dalla rimozione a carico dei soggetti che hanno effettuato le occupazioni o l’esposizione pubblicitaria o per conto dei quali la pubblicità è stata effettuata”</w:t>
      </w:r>
    </w:p>
    <w:p w:rsidR="00000000" w:rsidDel="00000000" w:rsidP="00000000" w:rsidRDefault="00000000" w:rsidRPr="00000000" w14:paraId="0000007E">
      <w:pPr>
        <w:spacing w:after="0" w:line="240" w:lineRule="auto"/>
        <w:rPr/>
      </w:pPr>
      <w:r w:rsidDel="00000000" w:rsidR="00000000" w:rsidRPr="00000000">
        <w:rPr>
          <w:rtl w:val="0"/>
        </w:rPr>
        <w:t xml:space="preserve">Desta sorpresa la parte di testo che prevede la rimozione delle occupazioni o delle esposizioni pubblicitarie: “</w:t>
      </w:r>
      <w:r w:rsidDel="00000000" w:rsidR="00000000" w:rsidRPr="00000000">
        <w:rPr>
          <w:i w:val="1"/>
          <w:rtl w:val="0"/>
        </w:rPr>
        <w:t xml:space="preserve">per i quali non sia stato eseguito il pagamento del relativo canone”. </w:t>
      </w:r>
      <w:r w:rsidDel="00000000" w:rsidR="00000000" w:rsidRPr="00000000">
        <w:rPr>
          <w:rtl w:val="0"/>
        </w:rPr>
        <w:t xml:space="preserve">Una misura forte, di difficile, se non impossibile, applicazione, ma che da il senso della volontà di combattere contro gli abusivismi e le violazioni ai regolamenti.</w:t>
      </w:r>
    </w:p>
    <w:p w:rsidR="00000000" w:rsidDel="00000000" w:rsidP="00000000" w:rsidRDefault="00000000" w:rsidRPr="00000000" w14:paraId="0000007F">
      <w:pPr>
        <w:spacing w:after="0" w:line="240" w:lineRule="auto"/>
        <w:rPr/>
      </w:pPr>
      <w:r w:rsidDel="00000000" w:rsidR="00000000" w:rsidRPr="00000000">
        <w:rPr>
          <w:rtl w:val="0"/>
        </w:rPr>
        <w:t xml:space="preserve">Sulla questione se ne è occupato anche il TAR Puglia, che ha confermato come il mancato pagamento del canone legittima la rimozione degli impianti pubblicitari. È la sezione III del  TAR di Bari con l’Ordinanza 587 del 16/12/2022 ad aver legittimato l’operato del Comune di Monopoli nel rimuovere degli impianti pubblicitari per i quali non erano stati eseguiti i pagamenti.</w:t>
      </w:r>
    </w:p>
    <w:p w:rsidR="00000000" w:rsidDel="00000000" w:rsidP="00000000" w:rsidRDefault="00000000" w:rsidRPr="00000000" w14:paraId="00000080">
      <w:pPr>
        <w:spacing w:after="0" w:line="240" w:lineRule="auto"/>
        <w:rPr/>
      </w:pPr>
      <w:r w:rsidDel="00000000" w:rsidR="00000000" w:rsidRPr="00000000">
        <w:rPr>
          <w:rtl w:val="0"/>
        </w:rPr>
        <w:t xml:space="preserve">Il Legislatore nel definire questa procedura ha richiesto espressamente la redazione di processo verbale di constatazione redatto da competente pubblico ufficiale. Torna quindi un richiamo esplicito alla figura del pubblico ufficiale, agente di P.M. o agente accertatore, che dovrà verbalizzare la presenza di questi manufatti sul territorio che sono abusivi o carenti del pagamento.</w:t>
      </w:r>
    </w:p>
    <w:p w:rsidR="00000000" w:rsidDel="00000000" w:rsidP="00000000" w:rsidRDefault="00000000" w:rsidRPr="00000000" w14:paraId="00000081">
      <w:pPr>
        <w:rPr/>
      </w:pPr>
      <w:r w:rsidDel="00000000" w:rsidR="00000000" w:rsidRPr="00000000">
        <w:rPr>
          <w:rtl w:val="0"/>
        </w:rPr>
        <w:t xml:space="preserve">Il testo di questo comma non necessita di modifiche. Le problematiche legate a questa particolare procedura sono legate alle difficoltà che gli uffici incontrano nel poter attuare il disposto contenuto nel comma 822.</w:t>
      </w:r>
    </w:p>
    <w:p w:rsidR="00000000" w:rsidDel="00000000" w:rsidP="00000000" w:rsidRDefault="00000000" w:rsidRPr="00000000" w14:paraId="00000082">
      <w:pPr>
        <w:spacing w:after="240" w:before="240" w:lineRule="auto"/>
        <w:jc w:val="both"/>
        <w:rPr>
          <w:b w:val="1"/>
        </w:rPr>
      </w:pPr>
      <w:r w:rsidDel="00000000" w:rsidR="00000000" w:rsidRPr="00000000">
        <w:rPr>
          <w:b w:val="1"/>
          <w:rtl w:val="0"/>
        </w:rPr>
        <w:t xml:space="preserve">Capitolo 9 – il comma 823. Il soggetto passivo</w:t>
      </w:r>
    </w:p>
    <w:p w:rsidR="00000000" w:rsidDel="00000000" w:rsidP="00000000" w:rsidRDefault="00000000" w:rsidRPr="00000000" w14:paraId="00000083">
      <w:pPr>
        <w:spacing w:after="240" w:before="240" w:lineRule="auto"/>
        <w:jc w:val="both"/>
        <w:rPr>
          <w:i w:val="1"/>
        </w:rPr>
      </w:pPr>
      <w:r w:rsidDel="00000000" w:rsidR="00000000" w:rsidRPr="00000000">
        <w:rPr>
          <w:rtl w:val="0"/>
        </w:rPr>
        <w:t xml:space="preserve">Con il comma 823, il Legislatore disciplina il soggetto passivo, e coerentemente con l’impostazione data alla nuova entrata stabilisce che: “</w:t>
      </w:r>
      <w:r w:rsidDel="00000000" w:rsidR="00000000" w:rsidRPr="00000000">
        <w:rPr>
          <w:i w:val="1"/>
          <w:rtl w:val="0"/>
        </w:rPr>
        <w:t xml:space="preserve">Il canone è dovuto dal titolare dell’autorizzazione o della concessione ovvero, in mancanza, dal soggetto che effettua l’occupazione o la diffusione dei messaggi pubblicitari in maniera abusiva; per la diffusione di messaggi pubblicitari, è obbligato in solido il soggetto pubblicizzato”.</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In prima battuta, quindi la naturale individuazione del soggetto responsabile del pagamento viene ricondotta al titolare del titolo amministrativo. Come già visto nei commi precedenti, la nuova entrata si lega in modo indissolubile alla fase amministrativa e diventa naturale la coincidenza di soggetti tra chi è titolare della concessione o dell’autorizzazione e chi dovrà versare il canone.</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Il Legislatore correttamente disciplina anche l’ipotesi di occupazione realizzata senza titolo, disponendo in questo caso che la soggettività passiva sia fatta ricadere su chi effettua materialmente l’occupazione o la diffusione del messaggio pubblicitario, stabilendo anche che, per la componente pubblicitaria del canone, sia obbligato in solido il soggetto pubblicizzato. Di fatto il Legislatore ha voluto confermare quel vantaggio già riconosciuto ai Comuni in materia di Imposta Comunale sulla Pubblicità, quando veniva consentito di svolgere la propria attività di accertamento nei confronti del soggetto che beneficiava del messaggio diffuso per mezzo di un impianto esposto abusivamente.</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E questa corresponsabilità a carico di chi beneficia del messaggio pubblicitario, è fondamentale per consentire agli addetti all’attività di rilevazione sul territorio e alle successive fasi di accertamento, di individuare un soggetto a cui rivolgere le proprie attenzioni. Molto spesso capita infatti di imbattersi in mezzi pubblicitari esposti abusivamente, senza la possibilità di ricondurli al soggetto che ha esposto l’impianto, ovvero colui che ha la disponibilità del manufatto e materialmente ha disposto la sua collocazione lungo la strada o in vista di essa. Per tutti questi casi, grazie al comma 823 oggi, e all’articolo 6 del D.Lgs 507/93 prima, è possibile emettere avvisi di accertamento direttamente in capo al soggetto pubblicizzato con l’impianto abusivo. Allo stesso modo sarà possibile per la Polizia Municipale elevare la sanzione prevista all’articolo 23 del Codice della Strada per un impianto pubblicitario esposto senza la preventiva autorizzazione.</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Questo meccanismo di responsabilità solidale, rappresenta certamente un vantaggio che il Legislatore ha voluto riconoscere in tema di lotta all’abusivismo e all’attività di recupero del Canone eluso. Perché non sempre è possibile individuare chi ha materialmente esposto il mezzo pubblicitario, mentre viceversa è di facile e immediata verifica, individuare il soggetto che viene pubblicizzato e che ricava diretto beneficio dalla diffusione del messaggio.</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Su questa tematica specifica si era già espressa la Corte di Cassazione con la sentenza n. 4424 del 23 febbraio 2018, analizzando un caso legato proprio alla corretta individuazione della soggettività passiva per un cartello abusivo esposto lungo una tratta autostradale. Nella sentenza si stabiliva che il beneficiario del messaggio promozionale contenuto nel cartellone pubblicitario era presuntivamente corresponsabile dell’installazione e soggetto passivo dell’imposta di pubblicità.</w:t>
      </w:r>
    </w:p>
    <w:p w:rsidR="00000000" w:rsidDel="00000000" w:rsidP="00000000" w:rsidRDefault="00000000" w:rsidRPr="00000000" w14:paraId="00000089">
      <w:pPr>
        <w:spacing w:after="240" w:before="240" w:lineRule="auto"/>
        <w:jc w:val="both"/>
        <w:rPr>
          <w:i w:val="1"/>
        </w:rPr>
      </w:pPr>
      <w:r w:rsidDel="00000000" w:rsidR="00000000" w:rsidRPr="00000000">
        <w:rPr>
          <w:rtl w:val="0"/>
        </w:rPr>
        <w:t xml:space="preserve">Il comma, nella sua versione originale, potrebbe essere completato definendo la casistica per i casi in cui  vi sia una pluralità di occupanti di fatto. In questo senso il testo del comma 823 potrebbe diventare il seguente: ““</w:t>
      </w:r>
      <w:r w:rsidDel="00000000" w:rsidR="00000000" w:rsidRPr="00000000">
        <w:rPr>
          <w:i w:val="1"/>
          <w:rtl w:val="0"/>
        </w:rPr>
        <w:t xml:space="preserve">Il canone è dovuto dal titolare dell’autorizzazione o della concessione ovvero, in mancanza, dal soggetto che effettua l’occupazione o la diffusione dei messaggi pubblicitari in maniera abusiva; per la diffusione di messaggi pubblicitari, è obbligato in solido il soggetto pubblicizzato. Nel caso di una pluralità di occupanti di fatto, gli stessi sono tenuti in solido al pagamento del canone. Il canone è indivisibile e il versamento dello stesso viene effettuato indifferentemente da uno dei contitolari in base ai principi generali della solidarietà passiva tra i condebitori così come previsto dall’art. 1292 del Codice Civile.”</w:t>
      </w:r>
    </w:p>
    <w:p w:rsidR="00000000" w:rsidDel="00000000" w:rsidP="00000000" w:rsidRDefault="00000000" w:rsidRPr="00000000" w14:paraId="0000008A">
      <w:pPr>
        <w:spacing w:after="240" w:before="240" w:lineRule="auto"/>
        <w:jc w:val="both"/>
        <w:rPr>
          <w:b w:val="1"/>
        </w:rPr>
      </w:pPr>
      <w:r w:rsidDel="00000000" w:rsidR="00000000" w:rsidRPr="00000000">
        <w:rPr>
          <w:b w:val="1"/>
          <w:rtl w:val="0"/>
        </w:rPr>
        <w:t xml:space="preserve">Capitolo 10 – il comma 824. Il criterio applicativo per le occupazioni di suolo pubblico</w:t>
      </w:r>
    </w:p>
    <w:p w:rsidR="00000000" w:rsidDel="00000000" w:rsidP="00000000" w:rsidRDefault="00000000" w:rsidRPr="00000000" w14:paraId="0000008B">
      <w:pPr>
        <w:spacing w:after="240" w:before="240" w:lineRule="auto"/>
        <w:jc w:val="both"/>
        <w:rPr>
          <w:i w:val="1"/>
        </w:rPr>
      </w:pPr>
      <w:r w:rsidDel="00000000" w:rsidR="00000000" w:rsidRPr="00000000">
        <w:rPr>
          <w:rtl w:val="0"/>
        </w:rPr>
        <w:t xml:space="preserve">Comma dedicato ai criteri di calcolo del Canone in riferimento al presupposto di cui al comma 819 lettera A, ovvero quelli dedicati alle occupazioni di suolo pubblico. Comma che quindi dovrebbe dettare le regole fondamentali necessarie per definire le tariffe e i criteri di calcolo per la giusta liquidazione del dovuto. Il testo di Legge prevede: </w:t>
      </w:r>
      <w:r w:rsidDel="00000000" w:rsidR="00000000" w:rsidRPr="00000000">
        <w:rPr>
          <w:i w:val="1"/>
          <w:rtl w:val="0"/>
        </w:rPr>
        <w:t xml:space="preserve">“Per le occupazioni di cui al comma 819, lettera a), il canone è determinato, in base alla durata, alla superficie, espressa in metri quadrati, alla tipologia e alle finalità, alla zona occupata del territorio comunale o provinciale o della città metropolitana in cui è effettuata l’occupazione. Il canone può essere maggiorato di eventuali effettivi e comprovati oneri di manutenzione in concreto derivanti dall’occupazione del suolo e del sottosuolo, che non siano, a qualsiasi titolo, già posti a carico dei soggetti che effettuano le occupazioni. La superficie dei passi carrabili si determina moltiplicando la larghezza del passo, misurata sulla fronte dell’edificio o del terreno al quale si dà l’accesso, per la profondità di un metro lineare convenzionale. Il canone relativo ai passi carrabili può essere definitivamente assolto mediante il versamento, in qualsiasi momento, di una somma pari a venti annualità.”</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Nella prima parte del testo vengono definiti i parametri che andranno ad incidere sul calcolo del canone, nella seconda invece si tenta di disciplinare i passi carrabili.</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La tariffa del canone per le occupazioni di suolo pubblico tuttavia dovrebbe essere determinata sulla base dei seguenti elementi: classificazione delle strade in ordine di importanza, entità dell'occupazione, espressa in metri quadrati o lineari con arrotondamento delle frazioni  all'unità superiore, durata dell'occupazione, valore economico dell’area in relazione all’attività esercitata, al sacrificio imposto alla collettività per la sottrazione dell’area stessa all’uso pubblico con previsione di coefficienti moltiplicatori per specifiche attività esercitate dai titolari delle concessioni anche in relazione alle modalità dell’occupazione nonché ai costi sostenuti dal Comune per la sua salvaguardia.</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Il Legislatore richiama il parametro della durata, della superficie, senza tuttavia prevedere il criterio di arrotondamento, della tipologia e della finalità, che garantiscono la gradualità delle tariffe e il rispetto dei principi di beneficio economico e sacrificio imposto alla collettività e infine della zona occupata prevedendo quindi la suddivisione del territorio in zone a seconda dell’importanza. Dimentica tuttavia, rispetto a quanto avveniva in passato, di fissare una misura minima di occupazione al di sotto la quale non ci procede all’applicazione del canone, e come detto non stabilisce un criterio per arrotondare le superfici espresse in metri quadrati o lineari (per i passi carrabili). Non stabilisce infine il criterio da adottare per la misurazione degli spazi soprastanti il suolo pubblico.</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Sulla parte del comma dedicata ai passi carrabili la situazione è ancora più lacunosa. Il legislatore perde l’occasione di fare finalmente chiarezza sulla materia, afflitta negli scorsi decenni da problematiche legate a normative troppo distanti tra loro. Il D.Lgs 507/93 e il Codice della Strada parlavano due lingue diverse e far dialogare i due sistemi era impossibile. </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Il Legislatore poco scrive sul tema, demandando così la disciplina specifica ai singoli regolamenti, basando la gestione del prelievo, come detto, sui principi generali della nuova entrata che vuole strettamente connessa la fase di rilascio delle concessioni con la soggettività al canone. Da sottolineare come il Legislatore abbia voluto, al di là della potestà regolamentare riconosciuta alle singole amministrazioni, prevedere la possibilità di assolvere definitivamente al canone con il versamento di una somma pari a 20 annualità. Ipotesi tuttavia non regolata che innesca possibili nuove problematiche in caso di concessioni di durata inferiore, in caso di trasferimento di proprietà dell’immobile, in caso di revoche della concessione per ragioni di pubblico interesse, ecc…</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Con il comma 824 il Legislatore si è limitato a stabilire il criterio di misurazione che, rispetto a tutte le altre fattispecie soggette al canone, sarà espressa in metri lineari anziché quadrati. Nulla dice sulla disciplina, poco dice sulle modalità di misurazione, limitandosi a specificare che la misura andrà eseguita sul fronte dell’edificio o del terreno a cui si dà accesso. Tuttavia, al lato pratico, il sistema di misurazione potrà variare a seconda dello stato dei luoghi. Ad esempio, tutte le volte che esiste una modifica del marciapiede con una sua interruzione o con uno smusso, oppure con la creazione di un’area di rispetto tracciata con delle linee orizzontali sul suolo pubblico, necessaria per permettere la manovra dei veicoli sia in ingresso che in uscita o ancora con una modifica del piano stradale realizzata con una occupazione per agevolare l’accesso alla proprietà privata, sarà legittimo considerare l’intera misura espresso in metri lineari avente come vertici i punti dove avviene l’interruzione o lo smusso del marciapiede, o la tracciatura dell’area di rispetto o ancora l’occupazione del suolo. Nel caso invece in cui l’accesso carrabile sia a raso con esposizione di cartello, la misurazione dovrà avvenire necessariamente da pilastro a pilastro, misurando la “luce” del varco. Regole e criteri che, non trovando disciplina nella Legge, dovrebbero trovare spazio necessariamente nel Regolamento Comunale.</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Con l’attuale prelievo, risulta evidente come oggi non abbia più senso legare la soggettività passiva al canone solo con le eventuali modifiche del piano stradale intese a facilitare l’accesso alla proprietà privata. Si ritiene invece che tutte le volte che verrà rilasciata la concessione di passo carrabile, che lo ricordiamo prevede per la sua corretta individuazione l’esposizione del segnale, questa debba comportare il pagamento del CUP, indipendentemente dalle caratteristiche fisiche dall’accesso.</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Fatte queste considerazioni, possiamo ipotizzare un comma dedicato ai criteri di definizione del canone per le occupazioni e per i passi carrabili più organica in modo da limitare l’iniziativa del singolo ente territoriale nel disciplinare le diverse ipotesi di calcolo. Del resto questo comma è troppo importante nell’ambito della disciplina perché fissa i criteri per la giusta liquidazione del CUP. Considerazioni che ripeteremo nell’analisi del successivo comma 825.</w:t>
      </w:r>
    </w:p>
    <w:p w:rsidR="00000000" w:rsidDel="00000000" w:rsidP="00000000" w:rsidRDefault="00000000" w:rsidRPr="00000000" w14:paraId="00000094">
      <w:pPr>
        <w:spacing w:after="240" w:before="240" w:lineRule="auto"/>
        <w:jc w:val="both"/>
        <w:rPr>
          <w:i w:val="1"/>
        </w:rPr>
      </w:pPr>
      <w:r w:rsidDel="00000000" w:rsidR="00000000" w:rsidRPr="00000000">
        <w:rPr>
          <w:rtl w:val="0"/>
        </w:rPr>
        <w:t xml:space="preserve">Il testo che vorremmo leggere del comma 824 potrebbe essere: “</w:t>
      </w:r>
      <w:r w:rsidDel="00000000" w:rsidR="00000000" w:rsidRPr="00000000">
        <w:rPr>
          <w:i w:val="1"/>
          <w:rtl w:val="0"/>
        </w:rPr>
        <w:t xml:space="preserve">Per le occupazioni di cui al comma 819, lettera a), il canone è determinato, in base alla durata, alla superficie, espressa in metri quadrati, con arrotondamento delle frazioni all'unità superiore,  alla tipologia e alle finalità, alla zona occupata del territorio comunale o provinciale o della città metropolitana in cui è effettuata l’occupazione. Il canone può essere maggiorato di eventuali effettivi e comprovati oneri di manutenzione in concreto derivanti dall’occupazione del suolo e del sottosuolo, che non siano, a qualsiasi titolo, già posti a carico dei soggetti che effettuano le occupazioni.</w:t>
      </w:r>
      <w:r w:rsidDel="00000000" w:rsidR="00000000" w:rsidRPr="00000000">
        <w:rPr>
          <w:rtl w:val="0"/>
        </w:rPr>
        <w:t xml:space="preserve"> </w:t>
      </w:r>
      <w:r w:rsidDel="00000000" w:rsidR="00000000" w:rsidRPr="00000000">
        <w:rPr>
          <w:i w:val="1"/>
          <w:rtl w:val="0"/>
        </w:rPr>
        <w:t xml:space="preserve">Tali oneri sono determinati di volta in volta con determina del responsabile del procedimento. </w:t>
      </w:r>
    </w:p>
    <w:p w:rsidR="00000000" w:rsidDel="00000000" w:rsidP="00000000" w:rsidRDefault="00000000" w:rsidRPr="00000000" w14:paraId="00000095">
      <w:pPr>
        <w:spacing w:after="240" w:before="240" w:lineRule="auto"/>
        <w:jc w:val="both"/>
        <w:rPr>
          <w:i w:val="1"/>
        </w:rPr>
      </w:pPr>
      <w:r w:rsidDel="00000000" w:rsidR="00000000" w:rsidRPr="00000000">
        <w:rPr>
          <w:i w:val="1"/>
          <w:rtl w:val="0"/>
        </w:rPr>
        <w:t xml:space="preserve">Sono soggetti all’applicazione del canone, le occupazioni con passi carrabili regolarmente autorizzati ai sensi ai sensi dell’articolo 22 del Codice della Strada, previa determinazione della relativa superficie che si determina moltiplicando la larghezza del passo, misurata sulla fronte dell’edificio o del terreno al quale si dà l’accesso, per la profondità di un metro lineare convenzionale. Sono altresì considerati passi carrabili quei manufatti costituiti generalmente da listoni di pietra ed altro materiale o da appositi intervalli lasciati sui marciapiedi o, comunque, da una modifica del piano stradale avente la funzione di facilitare l’accesso dei veicoli alla proprietà privata. Il canone relativo ai passi carrabili può essere definitivamente assolto mediante il versamento, in qualsiasi momento, di una somma pari a venti annualità. </w:t>
      </w:r>
    </w:p>
    <w:p w:rsidR="00000000" w:rsidDel="00000000" w:rsidP="00000000" w:rsidRDefault="00000000" w:rsidRPr="00000000" w14:paraId="00000096">
      <w:pPr>
        <w:spacing w:after="240" w:before="240" w:lineRule="auto"/>
        <w:jc w:val="both"/>
        <w:rPr>
          <w:i w:val="1"/>
        </w:rPr>
      </w:pPr>
      <w:r w:rsidDel="00000000" w:rsidR="00000000" w:rsidRPr="00000000">
        <w:rPr>
          <w:i w:val="1"/>
          <w:rtl w:val="0"/>
        </w:rPr>
        <w:t xml:space="preserve">Non sono soggette al canone le occupazioni che in relazione alla medesima area di riferimento siano complessivamente inferiori a mezzo metro quadrato o lineare. L’arrotondamento è unico, all’interno della medesima area di riferimento, per le superfici che sarebbero autonomamente esenti in quanto non superiori, ciascuna, a mezzo mq, viceversa le superfici superiori al mezzo mq,  e quindi autonomamente imponibili, devono essere arrotondate singolarmente. Per le occupazioni di spazi soprastanti il suolo pubblico, la superficie assoggettabile al canone è quella corrispondente all'area della proiezione verticale dell'oggetto sul suolo medesimo”</w:t>
      </w:r>
    </w:p>
    <w:p w:rsidR="00000000" w:rsidDel="00000000" w:rsidP="00000000" w:rsidRDefault="00000000" w:rsidRPr="00000000" w14:paraId="00000097">
      <w:pPr>
        <w:spacing w:after="240" w:before="240" w:lineRule="auto"/>
        <w:jc w:val="both"/>
        <w:rPr>
          <w:b w:val="1"/>
        </w:rPr>
      </w:pPr>
      <w:r w:rsidDel="00000000" w:rsidR="00000000" w:rsidRPr="00000000">
        <w:rPr>
          <w:b w:val="1"/>
          <w:rtl w:val="0"/>
        </w:rPr>
        <w:t xml:space="preserve">Capitolo 11 – il comma 825. Il criterio applicativo per le esposizioni pubblicitarie</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Comma dedicato ai criteri di calcolo del Canone in riferimento al presupposto di cui al comma 819 lettera B, ovvero quelli dedicati alle diffusioni pubblicitarie. Comma che quindi dovrebbe dettare le regole fondamentali necessarie per definire le tariffe e i criteri di calcolo per la giusta liquidazione del dovuto. Il testo di Legge prevede: “</w:t>
      </w:r>
      <w:r w:rsidDel="00000000" w:rsidR="00000000" w:rsidRPr="00000000">
        <w:rPr>
          <w:i w:val="1"/>
          <w:rtl w:val="0"/>
        </w:rPr>
        <w:t xml:space="preserve">Per la diffusione di messaggi pubblicitari di cui al comma 819, lettera b), il canone è determinato in base alla superficie complessiva del mezzo pubblicitario, calcolata in metri quadrati, indipendentemente dal tipo e dal numero dei messaggi. Per la pubblicità effettuata all’esterno di veicoli adibiti a uso pubblico o a uso privato, il canone è dovuto rispettivamente al comune che ha rilasciato la licenza di esercizio e al comune in cui il proprietario del veicolo ha la residenza o la sede. In ogni caso è obbligato in solido al pagamento il soggetto che utilizza il mezzo per diffondere il messaggio. Non sono soggette al canone le superfici inferiori a trecento centimetri quadrati.”</w:t>
      </w:r>
      <w:r w:rsidDel="00000000" w:rsidR="00000000" w:rsidRPr="00000000">
        <w:rPr>
          <w:rtl w:val="0"/>
        </w:rPr>
      </w:r>
    </w:p>
    <w:p w:rsidR="00000000" w:rsidDel="00000000" w:rsidP="00000000" w:rsidRDefault="00000000" w:rsidRPr="00000000" w14:paraId="00000099">
      <w:pPr>
        <w:spacing w:after="240" w:before="240" w:lineRule="auto"/>
        <w:jc w:val="both"/>
        <w:rPr/>
      </w:pPr>
      <w:r w:rsidDel="00000000" w:rsidR="00000000" w:rsidRPr="00000000">
        <w:rPr>
          <w:rtl w:val="0"/>
        </w:rPr>
        <w:t xml:space="preserve">Nella prima parte del testo vengono definiti i parametri che andranno ad incidere sul calcolo del canone, basando il calcolo sulla superficie e non stabilendo, così come per le occupazioni, un criterio per arrotondare le superfici che saranno espresse in metri quadrati. Nella seconda parte  invece si fissano i criteri e la soggettività attiva della pubblicità sui veicoli, per il trasporto pubblico (bus, taxi, ecc…) e per quello privato, per conto proprio e per conto terzi. Infine si richiamano due principi mutuati dall’ICP, la figura dell’obbligato al pagamento e il limite dimensionale al di sotto del quale la pubblicità non viene attratta nel presupposto.</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Con i precedenti prelievi, i criteri di misurazione erano stati disciplinati nel Decreto Legislativo 507 del 1993, che specificava nel dettaglio i diversi calcoli da eseguire per arrotondare le superfici a seconda dell’entrata e della dimensione dell’oggetto tassato. In particolare, per quanto riguarda il presupposto pubblicitario a cui è dedicato questo approfondimento, l’articolo 7 del decreto prevedeva: “L'imposta sulla pubblicità si determina in base alla superficie della minima figura piana geometrica in cui è circoscritto il mezzo pubblicitario” e “…Le superfici inferiore ad un metro quadrato si arrotondano per eccesso al metro quadrato e le frazioni di esso, oltre il primo, a mezzo metro quadrato” e ancora “i festoni di bandierine e simili nonché' i mezzi di identico contenuto, ovvero riferibili al medesimo soggetto passivo, collocati in connessione tra loro si considerano, agli effetti del calcolo della superficie imponibile, come un unico mezzo pubblicitario.”</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Questa base di calcolo, con l’introduzione del Canone Unico, è venuta meno, così che i diversi Enti locali chiamati ad istituire l’entrata, hanno dovuto adottare, all’interno dei propri regolamenti, i criteri ritenuti più consoni per determinare le metrature alle quali applicare le tariffe deliberate per le diverse fattispecie.</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Nella maggior parte dei casi i Comuni hanno copiato esattamente i criteri già usati in materia di Imposta sulla Pubblicità sopra richiamati, mentre alcune amministrazioni locali si sono spinte in iniziative personalizzate, forti della potestà regolamentare riconosciuta loro in materia di proprie entrate dall’articolo 52 del D.Lgs 446/97.</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Stessa sorte per la zonizzazione del territorio, prevista per le occupazioni di suolo pubblico al comma 824 ma non per le esposizioni pubblicitarie, che invece, con il precedente prelievo vedevano una differenziazione a seconda della strada. Era infatti istituita la cosiddetta categoria speciale, prevedendo una maggiorazione percentuale da applicare tutte le volte che un mezzo pubblicitario era collocato in determinate vie di maggior pregio e di maggior visibilità.</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La maggior parte dei Comuni hanno risolto questa mancanza del Legislatore prevedendo la zonizzazione anche per le diffusioni pubblicitarie. L’hanno fatto in due modi, o mantenendo lo stesso sistema della maggiorazione già previsto per la categoria speciale, oppure seguendo lo stesso criterio di suddivisione adottato per le occupazioni di suolo pubblico. In ogni caso, chi prima applicava la categoria speciale, difficilmente vi ha rinunciato con la nuova entrata, nell’ottica di garantire la previsione del comma 817 con il vincolo dell’invarianza di gettito.</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È evidente quindi come questa carenza di disciplina a livello legislativo, abbia creato un panorama di situazioni variegate, diverse da comune a comune, creando evidenti problemi a tutti quei soggetti chiamati a operare in diversi ambiti territoriali. Una giungla di regolamenti che cambiano ad ogni confine locale, aggiungendo solo confusione ad un settore che sta vivendo, oggi più che mai, una situazione di caos. Troppe infatti sono ancora le incertezze applicative che stiamo subendo a causa di una disciplina incompleta, nata dalla scelta di unire entrate oggettivamente diverse tra loro.</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Carente si dimostra anche la seconda parte, quella dedicata alla pubblicità realizzata sui veicoli. Rispetto alla normativa che regolava il precedente prelievo, nel Canone Unico è venuta a mancare la distinzione di applicazione tra ipotesi di pubblicità effettuata per conto terzi rispetto a quella effettuata su mezzi di proprietà dell’azienda, ipotesi per la quale veniva in precedenza fissata una tariffa forfetaria basata sulla portata del veicolo, indipendente dal numero e dalla misura delle inserzioni pubblicitarie. Oggi, questa ipotesi non è stata regolata così che ancora una volta i Comuni hanno dovuto autodisciplinarsi.</w:t>
      </w:r>
    </w:p>
    <w:p w:rsidR="00000000" w:rsidDel="00000000" w:rsidP="00000000" w:rsidRDefault="00000000" w:rsidRPr="00000000" w14:paraId="000000A1">
      <w:pPr>
        <w:spacing w:after="240" w:before="240" w:lineRule="auto"/>
        <w:jc w:val="both"/>
        <w:rPr>
          <w:i w:val="1"/>
        </w:rPr>
      </w:pPr>
      <w:r w:rsidDel="00000000" w:rsidR="00000000" w:rsidRPr="00000000">
        <w:rPr>
          <w:rtl w:val="0"/>
        </w:rPr>
        <w:t xml:space="preserve">Il comma 825 non prevede infatti il criterio da utilizzare per il calcolo del canone, riconducendosi quindi al criterio generale previsto per la diffusione di messaggi pubblicitari di cui al comma 819, lettera b), secondo il quale: </w:t>
      </w:r>
      <w:r w:rsidDel="00000000" w:rsidR="00000000" w:rsidRPr="00000000">
        <w:rPr>
          <w:i w:val="1"/>
          <w:rtl w:val="0"/>
        </w:rPr>
        <w:t xml:space="preserve"> “…il canone è determinato in base alla superficie complessiva del mezzo pubblicitario, calcolata in metri quadrati, indipendentemente dal tipo e dal numero dei messaggi”</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Ora, trattandosi di entrata patrimoniale, il Comune, in forza della potestà regolamentare e del comma 821 della Legge 160/2019, potrebbe prevedere la disciplina del Canone relativamente alla pubblicità realizzata su automezzi di proprietà dell’azienda, reintroducendo in sede di Regolamento Comunale il criterio forfetario in base alla portata del veicolo, derogando al principio generale che vuole il canone commisurato alla superficie del mezzo pubblicitario.</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In relazione alla fattispecie della pubblicità sui veicoli si ricorda anche l’ipotesi di esenzione dal Canone Unico così come previsto dal comma 833 lettera n), che affronteremo più avanti.</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Infine il Legislatore richiama una disposizione già conosciuta in materia di ICP, ovvero prevede già per legge che tutte le iniziative pubblicitarie Non sono soggette al canone quando  le loro  superfici sono  inferiori a trecento centimetri quadrati.  Una precisazione che non poteva essere lasciata alla discrezionalità del singolo ente. Bene quindi ha fatto il Legislatore a riportarla nel comma 825 evitando situazioni in cui, messaggi di superficie inferiore potessero in alcuni territori dover pagare il canone.</w:t>
      </w:r>
    </w:p>
    <w:p w:rsidR="00000000" w:rsidDel="00000000" w:rsidP="00000000" w:rsidRDefault="00000000" w:rsidRPr="00000000" w14:paraId="000000A5">
      <w:pPr>
        <w:spacing w:after="240" w:before="240" w:lineRule="auto"/>
        <w:jc w:val="both"/>
        <w:rPr>
          <w:i w:val="1"/>
        </w:rPr>
      </w:pPr>
      <w:r w:rsidDel="00000000" w:rsidR="00000000" w:rsidRPr="00000000">
        <w:rPr>
          <w:rtl w:val="0"/>
        </w:rPr>
        <w:t xml:space="preserve">Il testo del comma 825, alla luce di queste considerazioni potrebbe diventare: “</w:t>
      </w:r>
      <w:r w:rsidDel="00000000" w:rsidR="00000000" w:rsidRPr="00000000">
        <w:rPr>
          <w:i w:val="1"/>
          <w:rtl w:val="0"/>
        </w:rPr>
        <w:t xml:space="preserve">Per la diffusione di messaggi pubblicitari di cui al comma 819, lettera b), il canone è determinato in base alla superficie complessiva del mezzo pubblicitario, calcolata in metri quadrati, indipendentemente dal tipo e dal numero dei messaggi. </w:t>
      </w:r>
    </w:p>
    <w:p w:rsidR="00000000" w:rsidDel="00000000" w:rsidP="00000000" w:rsidRDefault="00000000" w:rsidRPr="00000000" w14:paraId="000000A6">
      <w:pPr>
        <w:spacing w:after="240" w:before="240" w:lineRule="auto"/>
        <w:jc w:val="both"/>
        <w:rPr>
          <w:i w:val="1"/>
        </w:rPr>
      </w:pPr>
      <w:r w:rsidDel="00000000" w:rsidR="00000000" w:rsidRPr="00000000">
        <w:rPr>
          <w:i w:val="1"/>
          <w:rtl w:val="0"/>
        </w:rPr>
        <w:t xml:space="preserve">E’ rilevante, ai fini della determinazione del canone, la zona del territorio comunale in cui è esposta la diffusione pubblicitaria. </w:t>
      </w:r>
    </w:p>
    <w:p w:rsidR="00000000" w:rsidDel="00000000" w:rsidP="00000000" w:rsidRDefault="00000000" w:rsidRPr="00000000" w14:paraId="000000A7">
      <w:pPr>
        <w:spacing w:after="240" w:before="240" w:lineRule="auto"/>
        <w:jc w:val="both"/>
        <w:rPr>
          <w:i w:val="1"/>
        </w:rPr>
      </w:pPr>
      <w:r w:rsidDel="00000000" w:rsidR="00000000" w:rsidRPr="00000000">
        <w:rPr>
          <w:i w:val="1"/>
          <w:rtl w:val="0"/>
        </w:rPr>
        <w:t xml:space="preserve">Le superfici inferiori ad un metro quadrato si arrotondano per eccesso al metro quadrato e le frazioni di esso, oltre il primo, a mezzo metro quadrato , indipendentemente dal tipo e dal numero dei messaggi. Quando il messaggio pubblicitario non è inserito in un mezzo pubblicitario, il canone viene commisurato alla superficie della minima figura piana geometrica in cui sono circoscritti i messaggi pubblicitari. </w:t>
      </w:r>
    </w:p>
    <w:p w:rsidR="00000000" w:rsidDel="00000000" w:rsidP="00000000" w:rsidRDefault="00000000" w:rsidRPr="00000000" w14:paraId="000000A8">
      <w:pPr>
        <w:spacing w:after="240" w:before="240" w:lineRule="auto"/>
        <w:jc w:val="both"/>
        <w:rPr>
          <w:i w:val="1"/>
        </w:rPr>
      </w:pPr>
      <w:r w:rsidDel="00000000" w:rsidR="00000000" w:rsidRPr="00000000">
        <w:rPr>
          <w:i w:val="1"/>
          <w:rtl w:val="0"/>
        </w:rPr>
        <w:t xml:space="preserve">Per la pubblicità effettuata all’esterno di veicoli adibiti a uso pubblico o a uso privato, il canone è dovuto rispettivamente al comune che ha rilasciato la licenza di esercizio e al comune in cui il proprietario del veicolo ha la residenza o la sede. Per la pubblicità realizzata su veicoli di proprietà dell’impresa o adibiti al trasporto per suo conto, che non rientrano nell’ipotesi di esenzione, potrà essere applicata una tariffa forfetaria non legata alla superficie dedicata all’esposizione pubblicitaria. Il canone è in ogni caso dovuto dagli eventuali rimorchi, considerati come veicoli autonomi, anche se gli stessi circolano solo occasionalmente. In ogni caso è obbligato in solido al pagamento il soggetto che utilizza il mezzo per diffondere il messaggio. </w:t>
      </w:r>
    </w:p>
    <w:p w:rsidR="00000000" w:rsidDel="00000000" w:rsidP="00000000" w:rsidRDefault="00000000" w:rsidRPr="00000000" w14:paraId="000000A9">
      <w:pPr>
        <w:spacing w:after="240" w:before="240" w:lineRule="auto"/>
        <w:jc w:val="both"/>
        <w:rPr>
          <w:i w:val="1"/>
        </w:rPr>
      </w:pPr>
      <w:r w:rsidDel="00000000" w:rsidR="00000000" w:rsidRPr="00000000">
        <w:rPr>
          <w:i w:val="1"/>
          <w:rtl w:val="0"/>
        </w:rPr>
        <w:t xml:space="preserve">Il canone da applicare alla pubblicità effettuata mediante distribuzione di volantini, manifestini e/o oggetti promozionali è dovuto per ciascun giorno e per ciascuna persona o distributore fisso utilizzato per la distribuzione indipendentemente dalla quantità di materiale distribuito.  Per la pubblicità sonora il canone è applicato per ciascun punto fisso di diffusione della pubblicità, ovvero, se itinerante, per ciascun veicolo circolante nelle ore consentite.</w:t>
      </w:r>
    </w:p>
    <w:p w:rsidR="00000000" w:rsidDel="00000000" w:rsidP="00000000" w:rsidRDefault="00000000" w:rsidRPr="00000000" w14:paraId="000000AA">
      <w:pPr>
        <w:spacing w:after="240" w:before="240" w:lineRule="auto"/>
        <w:jc w:val="both"/>
        <w:rPr>
          <w:i w:val="1"/>
        </w:rPr>
      </w:pPr>
      <w:r w:rsidDel="00000000" w:rsidR="00000000" w:rsidRPr="00000000">
        <w:rPr>
          <w:i w:val="1"/>
          <w:rtl w:val="0"/>
        </w:rPr>
        <w:t xml:space="preserve">Non sono soggette al canone le superfici inferiori a trecento centimetri quadrati.</w:t>
      </w:r>
    </w:p>
    <w:p w:rsidR="00000000" w:rsidDel="00000000" w:rsidP="00000000" w:rsidRDefault="00000000" w:rsidRPr="00000000" w14:paraId="000000AB">
      <w:pPr>
        <w:spacing w:after="240" w:before="240" w:lineRule="auto"/>
        <w:jc w:val="both"/>
        <w:rPr>
          <w:i w:val="1"/>
        </w:rPr>
      </w:pPr>
      <w:r w:rsidDel="00000000" w:rsidR="00000000" w:rsidRPr="00000000">
        <w:rPr>
          <w:rtl w:val="0"/>
        </w:rPr>
      </w:r>
    </w:p>
    <w:p w:rsidR="00000000" w:rsidDel="00000000" w:rsidP="00000000" w:rsidRDefault="00000000" w:rsidRPr="00000000" w14:paraId="000000AC">
      <w:pPr>
        <w:spacing w:after="240" w:before="240" w:lineRule="auto"/>
        <w:jc w:val="both"/>
        <w:rPr/>
      </w:pPr>
      <w:r w:rsidDel="00000000" w:rsidR="00000000" w:rsidRPr="00000000">
        <w:rPr>
          <w:rtl w:val="0"/>
        </w:rPr>
      </w:r>
    </w:p>
    <w:p w:rsidR="00000000" w:rsidDel="00000000" w:rsidP="00000000" w:rsidRDefault="00000000" w:rsidRPr="00000000" w14:paraId="000000AD">
      <w:pPr>
        <w:spacing w:after="240" w:before="240" w:lineRule="auto"/>
        <w:jc w:val="both"/>
        <w:rPr/>
      </w:pPr>
      <w:r w:rsidDel="00000000" w:rsidR="00000000" w:rsidRPr="00000000">
        <w:rPr>
          <w:rtl w:val="0"/>
        </w:rPr>
      </w:r>
    </w:p>
    <w:p w:rsidR="00000000" w:rsidDel="00000000" w:rsidP="00000000" w:rsidRDefault="00000000" w:rsidRPr="00000000" w14:paraId="000000AE">
      <w:pPr>
        <w:spacing w:after="240" w:before="240" w:lineRule="auto"/>
        <w:jc w:val="both"/>
        <w:rPr/>
      </w:pPr>
      <w:r w:rsidDel="00000000" w:rsidR="00000000" w:rsidRPr="00000000">
        <w:rPr>
          <w:rtl w:val="0"/>
        </w:rPr>
      </w:r>
    </w:p>
    <w:p w:rsidR="00000000" w:rsidDel="00000000" w:rsidP="00000000" w:rsidRDefault="00000000" w:rsidRPr="00000000" w14:paraId="000000AF">
      <w:pPr>
        <w:spacing w:after="240" w:before="240" w:lineRule="auto"/>
        <w:jc w:val="both"/>
        <w:rPr/>
      </w:pPr>
      <w:r w:rsidDel="00000000" w:rsidR="00000000" w:rsidRPr="00000000">
        <w:rPr>
          <w:rtl w:val="0"/>
        </w:rPr>
      </w:r>
    </w:p>
    <w:p w:rsidR="00000000" w:rsidDel="00000000" w:rsidP="00000000" w:rsidRDefault="00000000" w:rsidRPr="00000000" w14:paraId="000000B0">
      <w:pPr>
        <w:spacing w:after="240" w:before="240" w:lineRule="auto"/>
        <w:jc w:val="both"/>
        <w:rPr/>
      </w:pPr>
      <w:r w:rsidDel="00000000" w:rsidR="00000000" w:rsidRPr="00000000">
        <w:rPr>
          <w:rtl w:val="0"/>
        </w:rPr>
      </w:r>
    </w:p>
    <w:p w:rsidR="00000000" w:rsidDel="00000000" w:rsidP="00000000" w:rsidRDefault="00000000" w:rsidRPr="00000000" w14:paraId="000000B1">
      <w:pPr>
        <w:spacing w:after="240" w:before="240" w:lineRule="auto"/>
        <w:jc w:val="both"/>
        <w:rPr/>
      </w:pPr>
      <w:r w:rsidDel="00000000" w:rsidR="00000000" w:rsidRPr="00000000">
        <w:rPr>
          <w:rtl w:val="0"/>
        </w:rPr>
      </w:r>
    </w:p>
    <w:p w:rsidR="00000000" w:rsidDel="00000000" w:rsidP="00000000" w:rsidRDefault="00000000" w:rsidRPr="00000000" w14:paraId="000000B2">
      <w:pPr>
        <w:spacing w:after="240" w:before="240" w:lineRule="auto"/>
        <w:jc w:val="both"/>
        <w:rPr/>
      </w:pPr>
      <w:r w:rsidDel="00000000" w:rsidR="00000000" w:rsidRPr="00000000">
        <w:rPr>
          <w:rtl w:val="0"/>
        </w:rPr>
      </w:r>
    </w:p>
    <w:p w:rsidR="00000000" w:rsidDel="00000000" w:rsidP="00000000" w:rsidRDefault="00000000" w:rsidRPr="00000000" w14:paraId="000000B3">
      <w:pPr>
        <w:spacing w:after="240" w:before="240" w:lineRule="auto"/>
        <w:jc w:val="both"/>
        <w:rPr/>
      </w:pPr>
      <w:r w:rsidDel="00000000" w:rsidR="00000000" w:rsidRPr="00000000">
        <w:rPr>
          <w:rtl w:val="0"/>
        </w:rPr>
      </w:r>
    </w:p>
    <w:p w:rsidR="00000000" w:rsidDel="00000000" w:rsidP="00000000" w:rsidRDefault="00000000" w:rsidRPr="00000000" w14:paraId="000000B4">
      <w:pPr>
        <w:spacing w:after="240" w:before="240" w:lineRule="auto"/>
        <w:jc w:val="both"/>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0" w:line="240" w:lineRule="auto"/>
        <w:rPr/>
      </w:pPr>
      <w:r w:rsidDel="00000000" w:rsidR="00000000" w:rsidRPr="00000000">
        <w:rPr>
          <w:rtl w:val="0"/>
        </w:rPr>
      </w:r>
    </w:p>
    <w:p w:rsidR="00000000" w:rsidDel="00000000" w:rsidP="00000000" w:rsidRDefault="00000000" w:rsidRPr="00000000" w14:paraId="000000B7">
      <w:pPr>
        <w:spacing w:after="240" w:before="240" w:lineRule="auto"/>
        <w:jc w:val="both"/>
        <w:rPr/>
      </w:pPr>
      <w:r w:rsidDel="00000000" w:rsidR="00000000" w:rsidRPr="00000000">
        <w:rPr>
          <w:rtl w:val="0"/>
        </w:rPr>
      </w:r>
    </w:p>
    <w:p w:rsidR="00000000" w:rsidDel="00000000" w:rsidP="00000000" w:rsidRDefault="00000000" w:rsidRPr="00000000" w14:paraId="000000B8">
      <w:pPr>
        <w:spacing w:after="240" w:before="240" w:lineRule="auto"/>
        <w:jc w:val="both"/>
        <w:rPr>
          <w:b w:val="1"/>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spacing w:after="240" w:before="240" w:lineRule="auto"/>
        <w:jc w:val="both"/>
        <w:rPr/>
      </w:pPr>
      <w:r w:rsidDel="00000000" w:rsidR="00000000" w:rsidRPr="00000000">
        <w:rPr>
          <w:rtl w:val="0"/>
        </w:rPr>
      </w:r>
    </w:p>
    <w:p w:rsidR="00000000" w:rsidDel="00000000" w:rsidP="00000000" w:rsidRDefault="00000000" w:rsidRPr="00000000" w14:paraId="000000BB">
      <w:pPr>
        <w:spacing w:after="240" w:before="240" w:lineRule="auto"/>
        <w:jc w:val="both"/>
        <w:rPr/>
      </w:pPr>
      <w:r w:rsidDel="00000000" w:rsidR="00000000" w:rsidRPr="00000000">
        <w:rPr>
          <w:rtl w:val="0"/>
        </w:rPr>
        <w:t xml:space="preserve">  </w:t>
      </w:r>
    </w:p>
    <w:p w:rsidR="00000000" w:rsidDel="00000000" w:rsidP="00000000" w:rsidRDefault="00000000" w:rsidRPr="00000000" w14:paraId="000000BC">
      <w:pPr>
        <w:spacing w:after="240" w:before="240" w:lineRule="auto"/>
        <w:jc w:val="both"/>
        <w:rPr>
          <w:b w:val="1"/>
        </w:rPr>
      </w:pPr>
      <w:r w:rsidDel="00000000" w:rsidR="00000000" w:rsidRPr="00000000">
        <w:rPr>
          <w:b w:val="1"/>
          <w:rtl w:val="0"/>
        </w:rPr>
        <w:t xml:space="preserve"> </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 </w:t>
      </w:r>
    </w:p>
    <w:p w:rsidR="00000000" w:rsidDel="00000000" w:rsidP="00000000" w:rsidRDefault="00000000" w:rsidRPr="00000000" w14:paraId="000000BE">
      <w:pPr>
        <w:spacing w:after="240" w:before="240" w:lineRule="auto"/>
        <w:jc w:val="both"/>
        <w:rPr/>
      </w:pPr>
      <w:r w:rsidDel="00000000" w:rsidR="00000000" w:rsidRPr="00000000">
        <w:rPr>
          <w:rtl w:val="0"/>
        </w:rPr>
      </w:r>
    </w:p>
    <w:p w:rsidR="00000000" w:rsidDel="00000000" w:rsidP="00000000" w:rsidRDefault="00000000" w:rsidRPr="00000000" w14:paraId="000000BF">
      <w:pPr>
        <w:jc w:val="both"/>
        <w:rPr>
          <w:b w:val="1"/>
        </w:rPr>
      </w:pP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t-I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e" w:default="1">
    <w:name w:val="Normal"/>
    <w:qFormat w:val="1"/>
  </w:style>
  <w:style w:type="paragraph" w:styleId="Titolo1">
    <w:name w:val="heading 1"/>
    <w:basedOn w:val="Normale"/>
    <w:next w:val="Normale"/>
    <w:uiPriority w:val="9"/>
    <w:qFormat w:val="1"/>
    <w:pPr>
      <w:keepNext w:val="1"/>
      <w:keepLines w:val="1"/>
      <w:spacing w:after="120" w:before="480"/>
      <w:outlineLvl w:val="0"/>
    </w:pPr>
    <w:rPr>
      <w:b w:val="1"/>
      <w:sz w:val="48"/>
      <w:szCs w:val="48"/>
    </w:rPr>
  </w:style>
  <w:style w:type="paragraph" w:styleId="Titolo2">
    <w:name w:val="heading 2"/>
    <w:basedOn w:val="Normale"/>
    <w:next w:val="Normale"/>
    <w:uiPriority w:val="9"/>
    <w:semiHidden w:val="1"/>
    <w:unhideWhenUsed w:val="1"/>
    <w:qFormat w:val="1"/>
    <w:pPr>
      <w:keepNext w:val="1"/>
      <w:keepLines w:val="1"/>
      <w:spacing w:after="80" w:before="360"/>
      <w:outlineLvl w:val="1"/>
    </w:pPr>
    <w:rPr>
      <w:b w:val="1"/>
      <w:sz w:val="36"/>
      <w:szCs w:val="36"/>
    </w:rPr>
  </w:style>
  <w:style w:type="paragraph" w:styleId="Titolo3">
    <w:name w:val="heading 3"/>
    <w:basedOn w:val="Normale"/>
    <w:next w:val="Normale"/>
    <w:uiPriority w:val="9"/>
    <w:semiHidden w:val="1"/>
    <w:unhideWhenUsed w:val="1"/>
    <w:qFormat w:val="1"/>
    <w:pPr>
      <w:keepNext w:val="1"/>
      <w:keepLines w:val="1"/>
      <w:spacing w:after="80" w:before="280"/>
      <w:outlineLvl w:val="2"/>
    </w:pPr>
    <w:rPr>
      <w:b w:val="1"/>
      <w:sz w:val="28"/>
      <w:szCs w:val="28"/>
    </w:rPr>
  </w:style>
  <w:style w:type="paragraph" w:styleId="Titolo4">
    <w:name w:val="heading 4"/>
    <w:basedOn w:val="Normale"/>
    <w:next w:val="Normale"/>
    <w:uiPriority w:val="9"/>
    <w:semiHidden w:val="1"/>
    <w:unhideWhenUsed w:val="1"/>
    <w:qFormat w:val="1"/>
    <w:pPr>
      <w:keepNext w:val="1"/>
      <w:keepLines w:val="1"/>
      <w:spacing w:after="40" w:before="240"/>
      <w:outlineLvl w:val="3"/>
    </w:pPr>
    <w:rPr>
      <w:b w:val="1"/>
      <w:sz w:val="24"/>
      <w:szCs w:val="24"/>
    </w:rPr>
  </w:style>
  <w:style w:type="paragraph" w:styleId="Titolo5">
    <w:name w:val="heading 5"/>
    <w:basedOn w:val="Normale"/>
    <w:next w:val="Normale"/>
    <w:uiPriority w:val="9"/>
    <w:semiHidden w:val="1"/>
    <w:unhideWhenUsed w:val="1"/>
    <w:qFormat w:val="1"/>
    <w:pPr>
      <w:keepNext w:val="1"/>
      <w:keepLines w:val="1"/>
      <w:spacing w:after="40" w:before="220"/>
      <w:outlineLvl w:val="4"/>
    </w:pPr>
    <w:rPr>
      <w:b w:val="1"/>
    </w:rPr>
  </w:style>
  <w:style w:type="paragraph" w:styleId="Titolo6">
    <w:name w:val="heading 6"/>
    <w:basedOn w:val="Normale"/>
    <w:next w:val="Normale"/>
    <w:uiPriority w:val="9"/>
    <w:semiHidden w:val="1"/>
    <w:unhideWhenUsed w:val="1"/>
    <w:qFormat w:val="1"/>
    <w:pPr>
      <w:keepNext w:val="1"/>
      <w:keepLines w:val="1"/>
      <w:spacing w:after="40" w:before="200"/>
      <w:outlineLvl w:val="5"/>
    </w:pPr>
    <w:rPr>
      <w:b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olo">
    <w:name w:val="Title"/>
    <w:basedOn w:val="Normale"/>
    <w:next w:val="Normale"/>
    <w:uiPriority w:val="10"/>
    <w:qFormat w:val="1"/>
    <w:pPr>
      <w:keepNext w:val="1"/>
      <w:keepLines w:val="1"/>
      <w:spacing w:after="120" w:before="480"/>
    </w:pPr>
    <w:rPr>
      <w:b w:val="1"/>
      <w:sz w:val="72"/>
      <w:szCs w:val="72"/>
    </w:rPr>
  </w:style>
  <w:style w:type="paragraph" w:styleId="Sottotitolo">
    <w:name w:val="Subtitle"/>
    <w:basedOn w:val="Normale"/>
    <w:next w:val="Normale"/>
    <w:uiPriority w:val="11"/>
    <w:qFormat w:val="1"/>
    <w:pPr>
      <w:keepNext w:val="1"/>
      <w:keepLines w:val="1"/>
      <w:spacing w:after="80" w:before="360"/>
    </w:pPr>
    <w:rPr>
      <w:rFonts w:ascii="Georgia" w:cs="Georgia" w:eastAsia="Georgia" w:hAnsi="Georgia"/>
      <w:i w:val="1"/>
      <w:color w:val="666666"/>
      <w:sz w:val="48"/>
      <w:szCs w:val="48"/>
    </w:rPr>
  </w:style>
  <w:style w:type="paragraph" w:styleId="Revisione">
    <w:name w:val="Revision"/>
    <w:hidden w:val="1"/>
    <w:uiPriority w:val="99"/>
    <w:semiHidden w:val="1"/>
    <w:rsid w:val="005D6FDD"/>
    <w:pPr>
      <w:spacing w:after="0" w:line="240" w:lineRule="auto"/>
    </w:pPr>
  </w:style>
  <w:style w:type="paragraph" w:styleId="Default" w:customStyle="1">
    <w:name w:val="Default"/>
    <w:rsid w:val="003D3651"/>
    <w:pPr>
      <w:autoSpaceDE w:val="0"/>
      <w:autoSpaceDN w:val="0"/>
      <w:adjustRightInd w:val="0"/>
      <w:spacing w:after="0" w:line="240" w:lineRule="auto"/>
    </w:pPr>
    <w:rPr>
      <w:rFonts w:ascii="Times New Roman" w:cs="Times New Roman" w:eastAsia="Times New Roman" w:hAnsi="Times New Roman"/>
      <w:color w:val="000000"/>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lBwut2dmKKhAnVgbHG94xMlw==">CgMxLjAyCGguZ2pkZ3hzOAByITFiV2MydWNKNWlRMHhMRWRhRzMwaU5tUXRRcUNLc0hiVQ==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2023-08-21T14:40:00Z</dcterms:created>
  <dc:creator>alessandro merciari</dc:creator>
</cp:coreProperties>
</file>