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55BFD" w14:textId="5CE7BA8B" w:rsidR="00B55FCA" w:rsidRDefault="00B45656">
      <w:r>
        <w:t>Titolo: le procedure cautelari ed esecutive. Il Fermo Amministrativo</w:t>
      </w:r>
    </w:p>
    <w:p w14:paraId="40EC5012" w14:textId="44C899C1" w:rsidR="00B45656" w:rsidRDefault="00B45656"/>
    <w:p w14:paraId="38C1465E" w14:textId="57FDE5B8" w:rsidR="00B45656" w:rsidRDefault="00B45656" w:rsidP="00B45656">
      <w:r>
        <w:t>Il fermo amministrativo per debiti erariali può essere disposto indipendentemente</w:t>
      </w:r>
      <w:r>
        <w:t xml:space="preserve"> </w:t>
      </w:r>
      <w:r>
        <w:t>dall'ammontare del</w:t>
      </w:r>
      <w:r>
        <w:t xml:space="preserve"> </w:t>
      </w:r>
      <w:r>
        <w:t>credito iscritto a ruolo non debitamente pagato, trattandosi di misura</w:t>
      </w:r>
      <w:r>
        <w:t xml:space="preserve"> </w:t>
      </w:r>
      <w:r>
        <w:t>afflittiva volta a indurre al</w:t>
      </w:r>
      <w:r>
        <w:t xml:space="preserve"> </w:t>
      </w:r>
      <w:r>
        <w:t>pagamento il debitore. Lo ha stabilito la sezione quinta della</w:t>
      </w:r>
      <w:r>
        <w:t xml:space="preserve"> </w:t>
      </w:r>
      <w:r>
        <w:t>Cassazione, nell'ordinanza n. 32506/2022 del 4 novembre scorso.</w:t>
      </w:r>
    </w:p>
    <w:p w14:paraId="3C6B1F8D" w14:textId="4D45479C" w:rsidR="00B45656" w:rsidRDefault="00B45656" w:rsidP="00B45656">
      <w:r>
        <w:t>Con l'ordinanza di cui al commento, la Cassazione, annullando la sentenza impugnata, ha</w:t>
      </w:r>
      <w:r>
        <w:t xml:space="preserve"> </w:t>
      </w:r>
      <w:r>
        <w:t>fornito l'esatta</w:t>
      </w:r>
      <w:r>
        <w:t xml:space="preserve"> </w:t>
      </w:r>
      <w:r>
        <w:t>interpretazione dell'art. 86, dpr n. 602 del 1973, avendo, erroneamente, il</w:t>
      </w:r>
      <w:r>
        <w:t xml:space="preserve"> </w:t>
      </w:r>
      <w:r>
        <w:t>giudice di appello ritenuto esistente una "soglia di debito" al di sotto della quale il fermo è</w:t>
      </w:r>
      <w:r>
        <w:t xml:space="preserve"> </w:t>
      </w:r>
      <w:r>
        <w:t>illegittimo.</w:t>
      </w:r>
    </w:p>
    <w:p w14:paraId="25CEC627" w14:textId="0981CA2C" w:rsidR="00B45656" w:rsidRDefault="00B45656" w:rsidP="00B45656">
      <w:r>
        <w:t>Nella impugnata sentenza del collegio regionale salentino si legge che "dall'analisi delle</w:t>
      </w:r>
      <w:r>
        <w:t xml:space="preserve"> </w:t>
      </w:r>
      <w:r>
        <w:t>cartelle relative a</w:t>
      </w:r>
      <w:r>
        <w:t xml:space="preserve"> </w:t>
      </w:r>
      <w:r>
        <w:t>tributi erariali si evince che il credito cautelando è costituito da imposte</w:t>
      </w:r>
      <w:r>
        <w:t xml:space="preserve"> </w:t>
      </w:r>
      <w:r>
        <w:t>locali (Ici), tassa di smaltimento rifiuti (Tarsu), riguardanti somme di estrema modestia tali</w:t>
      </w:r>
      <w:r>
        <w:t xml:space="preserve"> </w:t>
      </w:r>
      <w:r>
        <w:t>da non giustificare il provvedimento di fermo amministrativo, inutilmente afflittivo".</w:t>
      </w:r>
    </w:p>
    <w:p w14:paraId="0D793C37" w14:textId="0248FEF4" w:rsidR="00B45656" w:rsidRDefault="00B45656" w:rsidP="00B45656">
      <w:r>
        <w:t>Il collegio di Piazza Cavour ha accolto il ricorso del concessionario alla riscossione e,</w:t>
      </w:r>
      <w:r>
        <w:t xml:space="preserve"> </w:t>
      </w:r>
      <w:r>
        <w:t>interpretando l'articolo 86, del dpr n. 602 del 1973, ha stabilito che il provvedimento di</w:t>
      </w:r>
      <w:r>
        <w:t xml:space="preserve"> </w:t>
      </w:r>
      <w:r>
        <w:t>fermo amministrativo dei beni mobili</w:t>
      </w:r>
      <w:r>
        <w:t xml:space="preserve"> </w:t>
      </w:r>
      <w:r>
        <w:t>registrati ha natura non già di atto di espropriazione</w:t>
      </w:r>
      <w:r>
        <w:t xml:space="preserve"> </w:t>
      </w:r>
      <w:r>
        <w:t>forzata, ma di procedura a questa alternativa, trattandosi di misura puramente afflittiva e</w:t>
      </w:r>
      <w:r>
        <w:t xml:space="preserve"> </w:t>
      </w:r>
      <w:r>
        <w:t>coercitiva volta a indurre il debitore all'adempimento.</w:t>
      </w:r>
    </w:p>
    <w:p w14:paraId="5EBF6B6F" w14:textId="2BCDEA91" w:rsidR="00B45656" w:rsidRDefault="00B45656" w:rsidP="00B45656">
      <w:r>
        <w:t>Sulla base della ordinanza n. 15354/2015 delle sezioni unite della stessa Corte, la sezione</w:t>
      </w:r>
      <w:r>
        <w:t xml:space="preserve"> </w:t>
      </w:r>
      <w:r>
        <w:t>tributaria ha detto che la sua impugnativa, sostanziandosi in un'azione di accertamento</w:t>
      </w:r>
      <w:r>
        <w:t xml:space="preserve"> </w:t>
      </w:r>
      <w:r>
        <w:t>negativo della pretesa creditoria, segue le regole del rito ordinario di cognizione e le</w:t>
      </w:r>
      <w:r>
        <w:t xml:space="preserve"> </w:t>
      </w:r>
      <w:r>
        <w:t>norme generali in tema di riparto della competenza per materia e per valore. Ne discende</w:t>
      </w:r>
      <w:r>
        <w:t xml:space="preserve"> </w:t>
      </w:r>
      <w:r>
        <w:t>che l'Amministrazione finanziaria può, alternativamente, procedere a espropriazione</w:t>
      </w:r>
      <w:r>
        <w:t xml:space="preserve"> </w:t>
      </w:r>
      <w:r>
        <w:t>forzata ovvero a fermo amministrativo, indipendentemente dall'ammontare del credito</w:t>
      </w:r>
      <w:r>
        <w:t xml:space="preserve"> </w:t>
      </w:r>
      <w:r>
        <w:t>iscritto a ruolo, trattandosi di misura, quest'ultima, puramente afflittiva volta a indurre il</w:t>
      </w:r>
      <w:r>
        <w:t xml:space="preserve"> </w:t>
      </w:r>
      <w:r>
        <w:t>debitore all'adempimento.</w:t>
      </w:r>
    </w:p>
    <w:sectPr w:rsidR="00B456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80"/>
    <w:rsid w:val="00861680"/>
    <w:rsid w:val="00B45656"/>
    <w:rsid w:val="00B5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49709"/>
  <w15:chartTrackingRefBased/>
  <w15:docId w15:val="{AEB77CFB-C0CF-44B9-88AA-8A1EAE05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2022-12-12T07:18:00Z</dcterms:created>
  <dcterms:modified xsi:type="dcterms:W3CDTF">2022-12-12T07:20:00Z</dcterms:modified>
</cp:coreProperties>
</file>