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69F4" w14:textId="1C21B2CE" w:rsidR="00060149" w:rsidRDefault="009948E9">
      <w:r>
        <w:t xml:space="preserve">Titolo: </w:t>
      </w:r>
      <w:r w:rsidR="00780046">
        <w:t xml:space="preserve">Il </w:t>
      </w:r>
      <w:r w:rsidRPr="009948E9">
        <w:t>CUP</w:t>
      </w:r>
      <w:r w:rsidR="00780046">
        <w:t xml:space="preserve"> per il </w:t>
      </w:r>
      <w:r w:rsidR="00780046" w:rsidRPr="009948E9">
        <w:t>servizio idrico</w:t>
      </w:r>
      <w:r w:rsidRPr="009948E9">
        <w:t xml:space="preserve"> </w:t>
      </w:r>
      <w:r w:rsidR="00780046">
        <w:t xml:space="preserve">è </w:t>
      </w:r>
      <w:r w:rsidRPr="009948E9">
        <w:t xml:space="preserve">dovuto </w:t>
      </w:r>
      <w:r w:rsidR="00780046">
        <w:t xml:space="preserve">anche </w:t>
      </w:r>
      <w:r w:rsidRPr="009948E9">
        <w:t>dal</w:t>
      </w:r>
      <w:r w:rsidR="00780046">
        <w:t xml:space="preserve">la società in house del Comune </w:t>
      </w:r>
    </w:p>
    <w:p w14:paraId="4F103CD1" w14:textId="54A02D10" w:rsidR="009948E9" w:rsidRDefault="009948E9">
      <w:r>
        <w:t>Di Alessandro Merciari</w:t>
      </w:r>
    </w:p>
    <w:p w14:paraId="79454D7E" w14:textId="77777777" w:rsidR="009948E9" w:rsidRDefault="009948E9"/>
    <w:p w14:paraId="5BBFAF82" w14:textId="2801431A" w:rsidR="002F4F39" w:rsidRDefault="009948E9" w:rsidP="002F4F39">
      <w:pPr>
        <w:jc w:val="both"/>
      </w:pPr>
      <w:r>
        <w:t xml:space="preserve">È di recente pubblicazione la sentenza del Tribunale di Rovigo con la quale è stata decisa una vertenza </w:t>
      </w:r>
      <w:r w:rsidR="00FC56F2">
        <w:t xml:space="preserve">relativa il canone per i servizi di </w:t>
      </w:r>
      <w:r w:rsidR="00780046">
        <w:t>rete, tra</w:t>
      </w:r>
      <w:r>
        <w:t xml:space="preserve"> un comune </w:t>
      </w:r>
      <w:r w:rsidR="00320164">
        <w:t>appartenente al</w:t>
      </w:r>
      <w:r w:rsidR="00320164">
        <w:t>l’</w:t>
      </w:r>
      <w:r w:rsidR="00320164" w:rsidRPr="002F4F39">
        <w:t>Ambit</w:t>
      </w:r>
      <w:r w:rsidR="00320164">
        <w:t>o</w:t>
      </w:r>
      <w:r w:rsidR="00320164" w:rsidRPr="002F4F39">
        <w:t xml:space="preserve"> Territorial</w:t>
      </w:r>
      <w:r w:rsidR="00320164">
        <w:t>e</w:t>
      </w:r>
      <w:r w:rsidR="00320164" w:rsidRPr="002F4F39">
        <w:t xml:space="preserve"> Ottimal</w:t>
      </w:r>
      <w:r w:rsidR="00320164">
        <w:t xml:space="preserve">e </w:t>
      </w:r>
      <w:r w:rsidR="00320164" w:rsidRPr="002F4F39">
        <w:t>(ATO)</w:t>
      </w:r>
      <w:r w:rsidR="00320164">
        <w:t xml:space="preserve"> del Polesine</w:t>
      </w:r>
      <w:r w:rsidR="003E7EB8">
        <w:t xml:space="preserve"> </w:t>
      </w:r>
      <w:r>
        <w:t xml:space="preserve">e la società </w:t>
      </w:r>
      <w:r w:rsidR="00320164">
        <w:t xml:space="preserve">Acquevenete SpA </w:t>
      </w:r>
      <w:r>
        <w:t xml:space="preserve">che </w:t>
      </w:r>
      <w:r w:rsidR="003E7EB8">
        <w:t xml:space="preserve">ne </w:t>
      </w:r>
      <w:r>
        <w:t>gestisce il ciclo idrico</w:t>
      </w:r>
      <w:r w:rsidR="002F4F39">
        <w:t xml:space="preserve">. </w:t>
      </w:r>
    </w:p>
    <w:p w14:paraId="10F2665B" w14:textId="221088C1" w:rsidR="00320164" w:rsidRDefault="00320164" w:rsidP="002F4F39">
      <w:pPr>
        <w:jc w:val="both"/>
      </w:pPr>
      <w:r>
        <w:t xml:space="preserve">Il giudice monocratico ha pronunciato la sentenza rigettando </w:t>
      </w:r>
      <w:r w:rsidR="00FC56F2">
        <w:t>il ricorso</w:t>
      </w:r>
      <w:r>
        <w:t xml:space="preserve"> della società che impugnava l’avviso di accertamento emesso dalla concessionaria del Comune per il recupero del canone previsto </w:t>
      </w:r>
      <w:r w:rsidR="00BD7F45">
        <w:t xml:space="preserve">dal comma 831 della </w:t>
      </w:r>
      <w:r w:rsidR="00BD7F45">
        <w:t>L</w:t>
      </w:r>
      <w:r w:rsidR="00BD7F45">
        <w:t>. 160/2019</w:t>
      </w:r>
      <w:r>
        <w:t>.</w:t>
      </w:r>
    </w:p>
    <w:p w14:paraId="7757DFBB" w14:textId="5E0AE933" w:rsidR="00320164" w:rsidRDefault="00320164" w:rsidP="002F4F39">
      <w:pPr>
        <w:jc w:val="both"/>
      </w:pPr>
      <w:r>
        <w:t>La società</w:t>
      </w:r>
      <w:r w:rsidR="00D204BE">
        <w:t xml:space="preserve"> </w:t>
      </w:r>
      <w:r w:rsidR="00BD7F45">
        <w:t xml:space="preserve">Acquevenete </w:t>
      </w:r>
      <w:r w:rsidR="00FC56F2">
        <w:t>gestisce</w:t>
      </w:r>
      <w:r>
        <w:t xml:space="preserve"> </w:t>
      </w:r>
      <w:r w:rsidR="00BD7F45">
        <w:t>l’infrastruttura idrica</w:t>
      </w:r>
      <w:r w:rsidR="00FC56F2">
        <w:t xml:space="preserve"> del Polesine</w:t>
      </w:r>
      <w:r w:rsidRPr="00320164">
        <w:t xml:space="preserve"> in regime di affidamento “in house” ed è una società per azioni a capitale totalmente pubblico, di proprietà dei 107 Comuni soci, che esercitano il potere di direzione e controllo secondo quanto previsto dalla normativa e dal</w:t>
      </w:r>
      <w:r w:rsidR="00780046">
        <w:t>l</w:t>
      </w:r>
      <w:r w:rsidR="00FC56F2">
        <w:t xml:space="preserve">o </w:t>
      </w:r>
      <w:r w:rsidR="00BD7F45">
        <w:t>s</w:t>
      </w:r>
      <w:r w:rsidRPr="00320164">
        <w:t>tatuto.</w:t>
      </w:r>
      <w:r w:rsidR="00B53246">
        <w:t xml:space="preserve"> Questo ha certamente indotto la società a ritenersi esente dallo speciale canone previsto a carico delle aziende che erogano i servizi pubblici, già previsto</w:t>
      </w:r>
      <w:r w:rsidR="00FC56F2">
        <w:t xml:space="preserve"> dal legislatore </w:t>
      </w:r>
      <w:r w:rsidR="00B53246">
        <w:t xml:space="preserve">con i prelievi TOSAP e COSAP, </w:t>
      </w:r>
      <w:r w:rsidR="00FC56F2">
        <w:t xml:space="preserve">poi </w:t>
      </w:r>
      <w:r w:rsidR="00B53246">
        <w:t>sostituiti dal 2021 dal</w:t>
      </w:r>
      <w:r w:rsidR="00FC56F2">
        <w:t>l’attuale</w:t>
      </w:r>
      <w:r w:rsidR="00B53246">
        <w:t xml:space="preserve"> Canone Unico che, come detto, regola la speciale tariffa al comma 831 della Legge 160/2019.</w:t>
      </w:r>
    </w:p>
    <w:p w14:paraId="602BED4E" w14:textId="54F6E37A" w:rsidR="00B35762" w:rsidRDefault="00780046" w:rsidP="00B35762">
      <w:pPr>
        <w:jc w:val="both"/>
      </w:pPr>
      <w:r w:rsidRPr="00780046">
        <w:t xml:space="preserve">Acquevenete </w:t>
      </w:r>
      <w:r w:rsidR="00B35762">
        <w:t>con il ricorso invocava</w:t>
      </w:r>
      <w:r w:rsidR="00B53246">
        <w:t xml:space="preserve"> </w:t>
      </w:r>
      <w:r w:rsidR="00FC56F2">
        <w:t xml:space="preserve">sostanzialmente </w:t>
      </w:r>
      <w:r w:rsidR="00B35762">
        <w:t xml:space="preserve">l’esenzione dal canone per due ipotesi previste dalla normativa. Quella individuata alla lettera a) del comma 833 art. 1 della L. 160/2019 e quella </w:t>
      </w:r>
      <w:r w:rsidR="00B53246">
        <w:t xml:space="preserve">stabilita alla </w:t>
      </w:r>
      <w:r w:rsidR="00B35762">
        <w:t xml:space="preserve">successiva </w:t>
      </w:r>
      <w:r w:rsidR="00B53246">
        <w:t>lettera d)</w:t>
      </w:r>
      <w:r w:rsidR="00B35762">
        <w:t xml:space="preserve"> che così recitano</w:t>
      </w:r>
      <w:r w:rsidR="00B35762">
        <w:t>:</w:t>
      </w:r>
    </w:p>
    <w:p w14:paraId="103BB709" w14:textId="77E31291" w:rsidR="00B35762" w:rsidRPr="00B35762" w:rsidRDefault="00B35762" w:rsidP="00B35762">
      <w:pPr>
        <w:jc w:val="both"/>
        <w:rPr>
          <w:i/>
          <w:iCs/>
        </w:rPr>
      </w:pPr>
      <w:r w:rsidRPr="00B35762">
        <w:rPr>
          <w:i/>
          <w:iCs/>
        </w:rPr>
        <w:t>“</w:t>
      </w:r>
      <w:r w:rsidRPr="00B35762">
        <w:rPr>
          <w:i/>
          <w:iCs/>
        </w:rPr>
        <w:t>Sono esenti dal canone:</w:t>
      </w:r>
    </w:p>
    <w:p w14:paraId="6296813B" w14:textId="77777777" w:rsidR="00B35762" w:rsidRPr="00B35762" w:rsidRDefault="00B35762" w:rsidP="00B35762">
      <w:pPr>
        <w:jc w:val="both"/>
        <w:rPr>
          <w:i/>
          <w:iCs/>
        </w:rPr>
      </w:pPr>
      <w:r w:rsidRPr="00B35762">
        <w:rPr>
          <w:i/>
          <w:iCs/>
        </w:rPr>
        <w:t>a) le occupazioni effettuate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 917, per finalità specifiche di assistenza, previdenza, sanità, educazione, cultura e ricerca scientifica;</w:t>
      </w:r>
    </w:p>
    <w:p w14:paraId="26411882" w14:textId="7761D7E1" w:rsidR="00B35762" w:rsidRPr="00B35762" w:rsidRDefault="00B35762" w:rsidP="00B35762">
      <w:pPr>
        <w:jc w:val="both"/>
        <w:rPr>
          <w:i/>
          <w:iCs/>
        </w:rPr>
      </w:pPr>
      <w:r w:rsidRPr="00B35762">
        <w:rPr>
          <w:i/>
          <w:iCs/>
        </w:rPr>
        <w:t>d) le occupazioni con impianti adibiti ai servizi pubblici nei casi in cui ne sia prevista, all'atto della concessione o successivamente, la devoluzione gratuita al comune al termine della concessione medesima;</w:t>
      </w:r>
      <w:r>
        <w:rPr>
          <w:i/>
          <w:iCs/>
        </w:rPr>
        <w:t>”</w:t>
      </w:r>
    </w:p>
    <w:p w14:paraId="6611A4B5" w14:textId="606C8361" w:rsidR="00B35762" w:rsidRDefault="00B35762" w:rsidP="002F4F39">
      <w:pPr>
        <w:jc w:val="both"/>
      </w:pPr>
      <w:r>
        <w:t>I</w:t>
      </w:r>
      <w:r w:rsidRPr="00B35762">
        <w:t xml:space="preserve">n particolare, </w:t>
      </w:r>
      <w:r>
        <w:t xml:space="preserve">la società ritiene di godere dei requisiti soggettivi che le garantirebbero l’esenzione dal canone  </w:t>
      </w:r>
      <w:r w:rsidRPr="00B35762">
        <w:t xml:space="preserve"> poiché realizza opere pubbliche non nel proprio interesse bensì in quanto società affidataria in house dei Comuni, e non si </w:t>
      </w:r>
      <w:r>
        <w:t>potrebbe</w:t>
      </w:r>
      <w:r w:rsidRPr="00B35762">
        <w:t xml:space="preserve"> pertanto considerare soggetto terzo, a differenza </w:t>
      </w:r>
      <w:r w:rsidR="00FC56F2">
        <w:t xml:space="preserve">di quanto avviene con il </w:t>
      </w:r>
      <w:r w:rsidRPr="00B35762">
        <w:t>Gestore affidatario con gara pubblica ed anche della società mista, che sono soggetti terzi rispetto al Comune</w:t>
      </w:r>
      <w:r w:rsidR="00FC56F2">
        <w:t xml:space="preserve">. Secondo la ricorrente sussiste </w:t>
      </w:r>
      <w:r w:rsidRPr="00B35762">
        <w:t xml:space="preserve">un rapporto di immedesimazione organica con i Comuni dei quali la società </w:t>
      </w:r>
      <w:r w:rsidRPr="00B35762">
        <w:rPr>
          <w:i/>
          <w:iCs/>
        </w:rPr>
        <w:t xml:space="preserve">in house </w:t>
      </w:r>
      <w:r w:rsidRPr="00B35762">
        <w:t>costituisce una longa manus e quindi si sostituisce ad essi.</w:t>
      </w:r>
    </w:p>
    <w:p w14:paraId="19F2C786" w14:textId="59380903" w:rsidR="00893EA9" w:rsidRPr="00893EA9" w:rsidRDefault="00893EA9" w:rsidP="00893EA9">
      <w:pPr>
        <w:jc w:val="both"/>
      </w:pPr>
      <w:r>
        <w:t>Tuttavia, come abbiamo già più volte evidenziato in precedenti pubblicazioni, tra le quali l’e-book “</w:t>
      </w:r>
      <w:r w:rsidRPr="00893EA9">
        <w:rPr>
          <w:b/>
          <w:bCs/>
        </w:rPr>
        <w:t>Il canone per i servizi di rete</w:t>
      </w:r>
      <w:r>
        <w:rPr>
          <w:b/>
          <w:bCs/>
        </w:rPr>
        <w:t xml:space="preserve">” </w:t>
      </w:r>
      <w:r w:rsidRPr="00893EA9">
        <w:t>pubblicato dal Sole 24 ORE”</w:t>
      </w:r>
      <w:r>
        <w:t xml:space="preserve"> (</w:t>
      </w:r>
      <w:hyperlink r:id="rId4" w:history="1">
        <w:r w:rsidRPr="00A1202E">
          <w:rPr>
            <w:rStyle w:val="Collegamentoipertestuale"/>
          </w:rPr>
          <w:t>https://ecommerce.ilsole24ore.com/shopping24/il-canone-per-i-servizi-di-rete.html</w:t>
        </w:r>
      </w:hyperlink>
      <w:r>
        <w:t>), n</w:t>
      </w:r>
      <w:r w:rsidRPr="00893EA9">
        <w:t xml:space="preserve">on potrà trovare applicazione l’esenzione prevista alla lettera </w:t>
      </w:r>
      <w:r>
        <w:t>a)</w:t>
      </w:r>
      <w:r w:rsidRPr="00893EA9">
        <w:t xml:space="preserve"> del comma 833 in quanto le aziende che gestiscono il servizio idrico integrato, </w:t>
      </w:r>
      <w:r>
        <w:t xml:space="preserve">tra cui Acquevenete SpA, </w:t>
      </w:r>
      <w:r w:rsidRPr="00893EA9">
        <w:t xml:space="preserve">non </w:t>
      </w:r>
      <w:r w:rsidR="003E607C">
        <w:t xml:space="preserve">possiedono i </w:t>
      </w:r>
      <w:r w:rsidRPr="00893EA9">
        <w:t xml:space="preserve">requisiti soggettivi espressamente </w:t>
      </w:r>
      <w:r w:rsidR="00780046">
        <w:t xml:space="preserve">richiesti </w:t>
      </w:r>
      <w:r w:rsidRPr="00893EA9">
        <w:t>dal Legislatore</w:t>
      </w:r>
      <w:r w:rsidR="00780046">
        <w:t xml:space="preserve"> per godere dell’agevolazione fiscale</w:t>
      </w:r>
      <w:r>
        <w:t>.</w:t>
      </w:r>
    </w:p>
    <w:p w14:paraId="702807BB" w14:textId="11DD0D3D" w:rsidR="00893EA9" w:rsidRDefault="00893EA9" w:rsidP="00893EA9">
      <w:pPr>
        <w:jc w:val="both"/>
      </w:pPr>
      <w:r w:rsidRPr="00893EA9">
        <w:t>Come recentemente ricordato dalla Corte dei Conti in una sentenza sul tema delle esenzioni dal Canone Unico emessa dalla sezione del Piemonte, le norme di agevolazione o di esenzione da una debenza tributaria o patrimoniale non consentono mai una loro interpretazione analogica ed estensiva, distinguono le ipotesi richiamate nella lettera “a” del comma 833 in due casistiche: quelle realizzate da Stato ed enti territoriali, da applicare sempre in tutti i contesti istituzionali, e quelle realizzate da enti religiosi ed enti pubblici non commerciali i cui benefici operano esclusivamente nell’alveo delle limitazioni normative riconducibili rispettivamente alle occupazioni necessarie per l’esercizio dei culti ammessi dallo Stato o a quelle funzionali alla realizzazione di finalità assistenziali, previdenziali, sanitarie, educative, culturali e di ricerca scientifica. Ipotesi e caratteristiche che non ritroviamo nelle aziende che erogano pubblici servizi.</w:t>
      </w:r>
    </w:p>
    <w:p w14:paraId="49402946" w14:textId="52C1C5DB" w:rsidR="003E45D8" w:rsidRPr="003E45D8" w:rsidRDefault="00893EA9" w:rsidP="003E45D8">
      <w:pPr>
        <w:jc w:val="both"/>
      </w:pPr>
      <w:r>
        <w:t>Non potrà</w:t>
      </w:r>
      <w:r w:rsidR="00FC56F2">
        <w:t xml:space="preserve"> peraltro </w:t>
      </w:r>
      <w:r>
        <w:t>trovare applicazione neppure l’altra ipotesi invocata dalla società, quella della lettera d) del comma 833</w:t>
      </w:r>
      <w:r w:rsidR="003E45D8">
        <w:t xml:space="preserve">. </w:t>
      </w:r>
      <w:r w:rsidR="003E45D8" w:rsidRPr="003E45D8">
        <w:t xml:space="preserve">La natura </w:t>
      </w:r>
      <w:r w:rsidR="00780046" w:rsidRPr="003E45D8">
        <w:t>stessa</w:t>
      </w:r>
      <w:r w:rsidR="00780046" w:rsidRPr="003E45D8">
        <w:t xml:space="preserve"> </w:t>
      </w:r>
      <w:r w:rsidR="003E45D8" w:rsidRPr="003E45D8">
        <w:t xml:space="preserve">della rete, comporta a carico di chi eroga il servizio, a qualunque titolo la conduca, il pagamento del canone disciplinato al comma 831 della Legge 160/2019. Canone, lo ribadiamo, voluto dal Legislatore a carico di tutte le aziende che erogano pubblici servizi, tra cui viene richiamato espressamente anche il servizio di </w:t>
      </w:r>
      <w:r w:rsidR="00780046">
        <w:t>rete</w:t>
      </w:r>
      <w:r w:rsidR="003E45D8" w:rsidRPr="003E45D8">
        <w:t xml:space="preserve"> dell’acqua</w:t>
      </w:r>
      <w:r w:rsidR="00780046">
        <w:t xml:space="preserve"> potabile</w:t>
      </w:r>
      <w:r w:rsidR="003E45D8" w:rsidRPr="003E45D8">
        <w:t>. Questo indipendentemente dalla proprietà della rete idrica che, in base alla normativa</w:t>
      </w:r>
      <w:r w:rsidR="00780046">
        <w:t xml:space="preserve"> italiana</w:t>
      </w:r>
      <w:r w:rsidR="003E45D8" w:rsidRPr="003E45D8">
        <w:t xml:space="preserve">, deve essere </w:t>
      </w:r>
      <w:r w:rsidR="00780046">
        <w:t xml:space="preserve">sempre </w:t>
      </w:r>
      <w:r w:rsidR="003E45D8" w:rsidRPr="003E45D8">
        <w:t xml:space="preserve">pubblica data in uso gratuito al gestore del servizio. </w:t>
      </w:r>
    </w:p>
    <w:p w14:paraId="759964D6" w14:textId="18CEC388" w:rsidR="003E45D8" w:rsidRDefault="003E45D8" w:rsidP="003E45D8">
      <w:pPr>
        <w:jc w:val="both"/>
        <w:rPr>
          <w:i/>
          <w:iCs/>
        </w:rPr>
      </w:pPr>
      <w:r>
        <w:t>Il tribunale di Rovigo</w:t>
      </w:r>
      <w:r w:rsidR="00C066BA">
        <w:t xml:space="preserve"> nella sentenza in parola,</w:t>
      </w:r>
      <w:r>
        <w:t xml:space="preserve"> si esprime </w:t>
      </w:r>
      <w:r w:rsidR="000521DC">
        <w:t>richiamando</w:t>
      </w:r>
      <w:r w:rsidR="00FC56F2" w:rsidRPr="00FC56F2">
        <w:rPr>
          <w:rFonts w:ascii="Palatino Linotype" w:hAnsi="Palatino Linotype" w:cs="Palatino Linotype"/>
          <w:color w:val="000000"/>
          <w:kern w:val="0"/>
          <w:sz w:val="28"/>
          <w:szCs w:val="28"/>
        </w:rPr>
        <w:t xml:space="preserve"> </w:t>
      </w:r>
      <w:r w:rsidR="00FC56F2" w:rsidRPr="00FC56F2">
        <w:t>l’art. 151 d.lgs 151/2006, il quale prevede</w:t>
      </w:r>
      <w:r w:rsidR="00C066BA">
        <w:t>:</w:t>
      </w:r>
      <w:r w:rsidR="00FC56F2" w:rsidRPr="00FC56F2">
        <w:rPr>
          <w:i/>
          <w:iCs/>
        </w:rPr>
        <w:t>“Il rapporto tra l'ente di governo dell'ambito ed il soggetto gestore del servizio idrico integrato è regolato da una convenzione predisposta dall'ente di governo dell'ambito sulla base delle convenzioni tipo”, convenzioni che devono prevedere, tra l’altro, “l'obbligo di restituzione, alla scadenza dell'affidamento, delle opere, degli impianti e delle canalizzazioni del servizio idrico integrato in condizioni di efficienza ed in buono stato di conservazione, nonché la disciplina delle conseguenze derivanti dalla eventuale cessazione anticipata dell'affidamento, anche tenendo conto delle previsioni di cui agli articoli 143 e 158 del decreto legislativo 12 aprile 2006, n.163, ed i criteri e le modalità per la valutazione del valore residuo degli investimenti realizzati dal gestore uscente”.</w:t>
      </w:r>
    </w:p>
    <w:p w14:paraId="73A7D222" w14:textId="77777777" w:rsidR="00553A0F" w:rsidRDefault="001B656B" w:rsidP="001B656B">
      <w:pPr>
        <w:jc w:val="both"/>
        <w:rPr>
          <w:i/>
          <w:iCs/>
        </w:rPr>
      </w:pPr>
      <w:r>
        <w:t xml:space="preserve">Nella sentenza si legge: </w:t>
      </w:r>
      <w:r w:rsidRPr="001B656B">
        <w:rPr>
          <w:i/>
          <w:iCs/>
        </w:rPr>
        <w:t>“</w:t>
      </w:r>
      <w:r w:rsidRPr="001B656B">
        <w:rPr>
          <w:i/>
          <w:iCs/>
        </w:rPr>
        <w:t>Ciò, del resto, è</w:t>
      </w:r>
      <w:r w:rsidRPr="001B656B">
        <w:rPr>
          <w:i/>
          <w:iCs/>
        </w:rPr>
        <w:t xml:space="preserve"> </w:t>
      </w:r>
      <w:r w:rsidRPr="001B656B">
        <w:rPr>
          <w:i/>
          <w:iCs/>
        </w:rPr>
        <w:t>coerente con il fatto che non è gratuita la devoluzione di un impianto che già era di proprietà dell’ente, trattandosi di mera restituzione</w:t>
      </w:r>
      <w:r w:rsidR="00553A0F">
        <w:rPr>
          <w:i/>
          <w:iCs/>
        </w:rPr>
        <w:t>…”</w:t>
      </w:r>
      <w:r w:rsidRPr="001B656B">
        <w:rPr>
          <w:i/>
          <w:iCs/>
        </w:rPr>
        <w:t xml:space="preserve"> </w:t>
      </w:r>
    </w:p>
    <w:p w14:paraId="6127BFB4" w14:textId="6143AE9A" w:rsidR="001B656B" w:rsidRDefault="00553A0F" w:rsidP="001B656B">
      <w:pPr>
        <w:jc w:val="both"/>
        <w:rPr>
          <w:i/>
          <w:iCs/>
        </w:rPr>
      </w:pPr>
      <w:r>
        <w:t>Il giudice</w:t>
      </w:r>
      <w:r w:rsidR="00C066BA">
        <w:t xml:space="preserve"> va oltre e </w:t>
      </w:r>
      <w:r>
        <w:t xml:space="preserve">si occupa anche di quelle parti di infrastruttura che vengono realizzate dalla società che gestisce la rete e per le quali vengono riconosciuti </w:t>
      </w:r>
      <w:r w:rsidR="00C066BA">
        <w:t xml:space="preserve">a fine convenzione </w:t>
      </w:r>
      <w:r w:rsidR="008F76B3" w:rsidRPr="008F76B3">
        <w:t xml:space="preserve">dei meccanismi </w:t>
      </w:r>
      <w:r w:rsidR="008F76B3" w:rsidRPr="008F76B3">
        <w:t xml:space="preserve">perequativi </w:t>
      </w:r>
      <w:r w:rsidR="008F76B3">
        <w:t>onde evitare una</w:t>
      </w:r>
      <w:r w:rsidR="008F76B3" w:rsidRPr="008F76B3">
        <w:t xml:space="preserve"> perdita economica derivante dalla restituzione delle strutture all’Ente pubblico</w:t>
      </w:r>
      <w:r w:rsidR="008F76B3">
        <w:t xml:space="preserve">. Il giudice </w:t>
      </w:r>
      <w:r w:rsidR="00C066BA">
        <w:t xml:space="preserve">a questo proposito </w:t>
      </w:r>
      <w:r>
        <w:t xml:space="preserve">sottolinea come: “ … </w:t>
      </w:r>
      <w:r w:rsidR="001B656B" w:rsidRPr="001B656B">
        <w:rPr>
          <w:i/>
          <w:iCs/>
        </w:rPr>
        <w:t>tale gratuità verrà meno nel momento in cui essa venga compensata in denaro, anche allorquando ciò non comporti la realizzazione di un profitto. In definitiva, si ritiene che la presenza di un corrispettivo da corrispondere al gestore uscente faccia venir meno la gratuità, almeno in parte, con conseguente inapplicabilità dell’esenzione eccepita. Il motivo di opposizione va dunque ritenuto infondato.</w:t>
      </w:r>
      <w:r w:rsidR="001B656B" w:rsidRPr="001B656B">
        <w:rPr>
          <w:i/>
          <w:iCs/>
        </w:rPr>
        <w:t>”</w:t>
      </w:r>
    </w:p>
    <w:p w14:paraId="3CD4BDF1" w14:textId="71C98E76" w:rsidR="00780046" w:rsidRDefault="00C066BA" w:rsidP="001B656B">
      <w:pPr>
        <w:jc w:val="both"/>
        <w:rPr>
          <w:i/>
          <w:iCs/>
        </w:rPr>
      </w:pPr>
      <w:r>
        <w:t>Infine, s</w:t>
      </w:r>
      <w:r w:rsidR="00780046">
        <w:t xml:space="preserve">ull’invocata esenzione ai sensi della lettera a) del comma 833 il giudice, seguendo il solco già tracciato dalla Corte di Cassazione e dalla Corte dei Conti, scrive: </w:t>
      </w:r>
      <w:r w:rsidR="00780046" w:rsidRPr="00780046">
        <w:rPr>
          <w:i/>
          <w:iCs/>
        </w:rPr>
        <w:t>“</w:t>
      </w:r>
      <w:r w:rsidR="00780046" w:rsidRPr="00780046">
        <w:rPr>
          <w:i/>
          <w:iCs/>
        </w:rPr>
        <w:t>Come chiarito dalla Suprema Corte, “In materia di TOSAP, l'esenzione prevista in favore del Comune dall'art. 49, comma 1, lett. a), del d.lgs. n. 507 del 1993 non può essere applicata in favore della società partecipata dal Comune, quand'anche operante come società “in house providing", ostandovi il carattere eccezionale delle norme di agevolazione tributaria; ferma la spettanza dell'esenzione, a norma della successiva lett. e), qualora sia stato stabilito -all'atto della concessione o dopo- che l'impianto di pubblico servizio resti gratuitamente devoluto al Comune.” (Cass. Sez. 5 - , Ordinanza n. 25300 del 25/10/2017). Tale principio di diritto, per la ragione che lo fonda (la non applicabilità in via analogica delle esenzioni tributarie), ben può trovare applicazione anche alla analoga fattispecie di esenzione prevista per la COSAP. Anche tale ragione di doglianza va pertanto respinta.</w:t>
      </w:r>
      <w:r w:rsidR="00780046" w:rsidRPr="00780046">
        <w:rPr>
          <w:i/>
          <w:iCs/>
        </w:rPr>
        <w:t>”</w:t>
      </w:r>
    </w:p>
    <w:p w14:paraId="19CCDAB8" w14:textId="0D408AB9" w:rsidR="00C066BA" w:rsidRPr="003E45D8" w:rsidRDefault="00C066BA" w:rsidP="001B656B">
      <w:pPr>
        <w:jc w:val="both"/>
      </w:pPr>
      <w:r>
        <w:t>La sentenza conferma la posizione che avevamo già assunto sul tema e  che coinvolge tutte le aziende che erogano i servizi pubblici, con particolare riguardo per quelle del settore idrico dove ad oggi sono ancora molte le società che non versano il giusto canone ai comuni, ritenendosi esenti dal pagamento del canone.</w:t>
      </w:r>
    </w:p>
    <w:p w14:paraId="06080ED8" w14:textId="77777777" w:rsidR="003E45D8" w:rsidRDefault="003E45D8" w:rsidP="00893EA9">
      <w:pPr>
        <w:jc w:val="both"/>
      </w:pPr>
    </w:p>
    <w:p w14:paraId="45183811" w14:textId="77777777" w:rsidR="00893EA9" w:rsidRDefault="00893EA9" w:rsidP="00893EA9">
      <w:pPr>
        <w:jc w:val="both"/>
      </w:pPr>
    </w:p>
    <w:p w14:paraId="56129697" w14:textId="77777777" w:rsidR="00BD7F45" w:rsidRDefault="00BD7F45" w:rsidP="002F4F39">
      <w:pPr>
        <w:jc w:val="both"/>
      </w:pPr>
    </w:p>
    <w:p w14:paraId="03479367" w14:textId="3EF518A8" w:rsidR="009948E9" w:rsidRDefault="002F4F39" w:rsidP="002F4F39">
      <w:pPr>
        <w:jc w:val="both"/>
      </w:pPr>
      <w:r>
        <w:t xml:space="preserve"> </w:t>
      </w:r>
    </w:p>
    <w:sectPr w:rsidR="009948E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altName w:val="Palatino"/>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C8"/>
    <w:rsid w:val="000521DC"/>
    <w:rsid w:val="00060149"/>
    <w:rsid w:val="001A0700"/>
    <w:rsid w:val="001B656B"/>
    <w:rsid w:val="002F4F39"/>
    <w:rsid w:val="00320164"/>
    <w:rsid w:val="003E45D8"/>
    <w:rsid w:val="003E607C"/>
    <w:rsid w:val="003E7EB8"/>
    <w:rsid w:val="00553A0F"/>
    <w:rsid w:val="006042B2"/>
    <w:rsid w:val="00780046"/>
    <w:rsid w:val="007B1496"/>
    <w:rsid w:val="00893EA9"/>
    <w:rsid w:val="008F76B3"/>
    <w:rsid w:val="009948E9"/>
    <w:rsid w:val="00B35762"/>
    <w:rsid w:val="00B53246"/>
    <w:rsid w:val="00BD7F45"/>
    <w:rsid w:val="00C066BA"/>
    <w:rsid w:val="00C702C8"/>
    <w:rsid w:val="00D204BE"/>
    <w:rsid w:val="00FC56F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5E84C"/>
  <w15:chartTrackingRefBased/>
  <w15:docId w15:val="{2E242C03-25C0-403B-BD94-CD9448720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70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C70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702C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702C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702C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702C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702C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702C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702C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702C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C702C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702C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702C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702C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702C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702C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702C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702C8"/>
    <w:rPr>
      <w:rFonts w:eastAsiaTheme="majorEastAsia" w:cstheme="majorBidi"/>
      <w:color w:val="272727" w:themeColor="text1" w:themeTint="D8"/>
    </w:rPr>
  </w:style>
  <w:style w:type="paragraph" w:styleId="Titolo">
    <w:name w:val="Title"/>
    <w:basedOn w:val="Normale"/>
    <w:next w:val="Normale"/>
    <w:link w:val="TitoloCarattere"/>
    <w:uiPriority w:val="10"/>
    <w:qFormat/>
    <w:rsid w:val="00C70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702C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702C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702C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702C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702C8"/>
    <w:rPr>
      <w:i/>
      <w:iCs/>
      <w:color w:val="404040" w:themeColor="text1" w:themeTint="BF"/>
    </w:rPr>
  </w:style>
  <w:style w:type="paragraph" w:styleId="Paragrafoelenco">
    <w:name w:val="List Paragraph"/>
    <w:basedOn w:val="Normale"/>
    <w:uiPriority w:val="34"/>
    <w:qFormat/>
    <w:rsid w:val="00C702C8"/>
    <w:pPr>
      <w:ind w:left="720"/>
      <w:contextualSpacing/>
    </w:pPr>
  </w:style>
  <w:style w:type="character" w:styleId="Enfasiintensa">
    <w:name w:val="Intense Emphasis"/>
    <w:basedOn w:val="Carpredefinitoparagrafo"/>
    <w:uiPriority w:val="21"/>
    <w:qFormat/>
    <w:rsid w:val="00C702C8"/>
    <w:rPr>
      <w:i/>
      <w:iCs/>
      <w:color w:val="2F5496" w:themeColor="accent1" w:themeShade="BF"/>
    </w:rPr>
  </w:style>
  <w:style w:type="paragraph" w:styleId="Citazioneintensa">
    <w:name w:val="Intense Quote"/>
    <w:basedOn w:val="Normale"/>
    <w:next w:val="Normale"/>
    <w:link w:val="CitazioneintensaCarattere"/>
    <w:uiPriority w:val="30"/>
    <w:qFormat/>
    <w:rsid w:val="00C70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702C8"/>
    <w:rPr>
      <w:i/>
      <w:iCs/>
      <w:color w:val="2F5496" w:themeColor="accent1" w:themeShade="BF"/>
    </w:rPr>
  </w:style>
  <w:style w:type="character" w:styleId="Riferimentointenso">
    <w:name w:val="Intense Reference"/>
    <w:basedOn w:val="Carpredefinitoparagrafo"/>
    <w:uiPriority w:val="32"/>
    <w:qFormat/>
    <w:rsid w:val="00C702C8"/>
    <w:rPr>
      <w:b/>
      <w:bCs/>
      <w:smallCaps/>
      <w:color w:val="2F5496" w:themeColor="accent1" w:themeShade="BF"/>
      <w:spacing w:val="5"/>
    </w:rPr>
  </w:style>
  <w:style w:type="character" w:styleId="Collegamentoipertestuale">
    <w:name w:val="Hyperlink"/>
    <w:basedOn w:val="Carpredefinitoparagrafo"/>
    <w:uiPriority w:val="99"/>
    <w:unhideWhenUsed/>
    <w:rsid w:val="00893EA9"/>
    <w:rPr>
      <w:color w:val="0563C1" w:themeColor="hyperlink"/>
      <w:u w:val="single"/>
    </w:rPr>
  </w:style>
  <w:style w:type="character" w:styleId="Menzionenonrisolta">
    <w:name w:val="Unresolved Mention"/>
    <w:basedOn w:val="Carpredefinitoparagrafo"/>
    <w:uiPriority w:val="99"/>
    <w:semiHidden/>
    <w:unhideWhenUsed/>
    <w:rsid w:val="00893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770711">
      <w:bodyDiv w:val="1"/>
      <w:marLeft w:val="0"/>
      <w:marRight w:val="0"/>
      <w:marTop w:val="0"/>
      <w:marBottom w:val="0"/>
      <w:divBdr>
        <w:top w:val="none" w:sz="0" w:space="0" w:color="auto"/>
        <w:left w:val="none" w:sz="0" w:space="0" w:color="auto"/>
        <w:bottom w:val="none" w:sz="0" w:space="0" w:color="auto"/>
        <w:right w:val="none" w:sz="0" w:space="0" w:color="auto"/>
      </w:divBdr>
    </w:div>
    <w:div w:id="569193734">
      <w:bodyDiv w:val="1"/>
      <w:marLeft w:val="0"/>
      <w:marRight w:val="0"/>
      <w:marTop w:val="0"/>
      <w:marBottom w:val="0"/>
      <w:divBdr>
        <w:top w:val="none" w:sz="0" w:space="0" w:color="auto"/>
        <w:left w:val="none" w:sz="0" w:space="0" w:color="auto"/>
        <w:bottom w:val="none" w:sz="0" w:space="0" w:color="auto"/>
        <w:right w:val="none" w:sz="0" w:space="0" w:color="auto"/>
      </w:divBdr>
    </w:div>
    <w:div w:id="592512014">
      <w:bodyDiv w:val="1"/>
      <w:marLeft w:val="0"/>
      <w:marRight w:val="0"/>
      <w:marTop w:val="0"/>
      <w:marBottom w:val="0"/>
      <w:divBdr>
        <w:top w:val="none" w:sz="0" w:space="0" w:color="auto"/>
        <w:left w:val="none" w:sz="0" w:space="0" w:color="auto"/>
        <w:bottom w:val="none" w:sz="0" w:space="0" w:color="auto"/>
        <w:right w:val="none" w:sz="0" w:space="0" w:color="auto"/>
      </w:divBdr>
    </w:div>
    <w:div w:id="107250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commerce.ilsole24ore.com/shopping24/il-canone-per-i-servizi-di-rete.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3</Pages>
  <Words>1248</Words>
  <Characters>7119</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11</cp:revision>
  <dcterms:created xsi:type="dcterms:W3CDTF">2025-01-23T07:25:00Z</dcterms:created>
  <dcterms:modified xsi:type="dcterms:W3CDTF">2025-01-23T15:15:00Z</dcterms:modified>
</cp:coreProperties>
</file>