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6E03" w14:textId="77777777" w:rsidR="00960CF8" w:rsidRDefault="00960CF8" w:rsidP="00960CF8">
      <w:pPr>
        <w:jc w:val="both"/>
        <w:rPr>
          <w:sz w:val="24"/>
          <w:szCs w:val="24"/>
        </w:rPr>
      </w:pPr>
      <w:r>
        <w:rPr>
          <w:sz w:val="24"/>
          <w:szCs w:val="24"/>
        </w:rPr>
        <w:t>Titolo: Il CUP per il servizio idrico si paga per due distinte reti: acqua potabile e fognatura</w:t>
      </w:r>
    </w:p>
    <w:p w14:paraId="01310FFB" w14:textId="77777777" w:rsidR="00960CF8" w:rsidRDefault="00960CF8" w:rsidP="00960CF8">
      <w:pPr>
        <w:jc w:val="both"/>
        <w:rPr>
          <w:sz w:val="24"/>
          <w:szCs w:val="24"/>
        </w:rPr>
      </w:pPr>
      <w:r>
        <w:rPr>
          <w:sz w:val="24"/>
          <w:szCs w:val="24"/>
        </w:rPr>
        <w:t>Di Alessandro Merciari</w:t>
      </w:r>
    </w:p>
    <w:p w14:paraId="4E74A116" w14:textId="6A698A09" w:rsidR="00D74B65" w:rsidRDefault="00CE1453" w:rsidP="00CE1453">
      <w:pPr>
        <w:jc w:val="both"/>
        <w:rPr>
          <w:sz w:val="24"/>
          <w:szCs w:val="24"/>
        </w:rPr>
      </w:pPr>
      <w:r w:rsidRPr="00CE1453">
        <w:rPr>
          <w:sz w:val="24"/>
          <w:szCs w:val="24"/>
        </w:rPr>
        <w:t>Nell’ambito del</w:t>
      </w:r>
      <w:r w:rsidR="009F6E8D">
        <w:rPr>
          <w:sz w:val="24"/>
          <w:szCs w:val="24"/>
        </w:rPr>
        <w:t xml:space="preserve"> </w:t>
      </w:r>
      <w:r w:rsidRPr="00CE1453">
        <w:rPr>
          <w:sz w:val="24"/>
          <w:szCs w:val="24"/>
        </w:rPr>
        <w:t xml:space="preserve">canone </w:t>
      </w:r>
      <w:r w:rsidR="009F6E8D" w:rsidRPr="00CE1453">
        <w:rPr>
          <w:sz w:val="24"/>
          <w:szCs w:val="24"/>
        </w:rPr>
        <w:t>per i servizi di rete</w:t>
      </w:r>
      <w:r w:rsidR="009F6E8D">
        <w:rPr>
          <w:sz w:val="24"/>
          <w:szCs w:val="24"/>
        </w:rPr>
        <w:t>, regolato</w:t>
      </w:r>
      <w:r w:rsidRPr="00CE1453">
        <w:rPr>
          <w:sz w:val="24"/>
          <w:szCs w:val="24"/>
        </w:rPr>
        <w:t xml:space="preserve"> al comma 831, art.1 della Legge 160/2019 </w:t>
      </w:r>
      <w:r w:rsidR="009F6E8D">
        <w:rPr>
          <w:sz w:val="24"/>
          <w:szCs w:val="24"/>
        </w:rPr>
        <w:t>e inserito all’interno della disciplina CUP</w:t>
      </w:r>
      <w:r w:rsidRPr="00CE1453">
        <w:rPr>
          <w:sz w:val="24"/>
          <w:szCs w:val="24"/>
        </w:rPr>
        <w:t xml:space="preserve">, </w:t>
      </w:r>
      <w:r w:rsidR="009F6E8D">
        <w:rPr>
          <w:sz w:val="24"/>
          <w:szCs w:val="24"/>
        </w:rPr>
        <w:t xml:space="preserve">abbiamo </w:t>
      </w:r>
      <w:r w:rsidRPr="00CE1453">
        <w:rPr>
          <w:sz w:val="24"/>
          <w:szCs w:val="24"/>
        </w:rPr>
        <w:t>in diverse occasioni commenta</w:t>
      </w:r>
      <w:r w:rsidR="009F6E8D">
        <w:rPr>
          <w:sz w:val="24"/>
          <w:szCs w:val="24"/>
        </w:rPr>
        <w:t>to</w:t>
      </w:r>
      <w:r w:rsidRPr="00CE1453">
        <w:rPr>
          <w:sz w:val="24"/>
          <w:szCs w:val="24"/>
        </w:rPr>
        <w:t xml:space="preserve"> sentenze, leggi e comportamenti, legati </w:t>
      </w:r>
      <w:r w:rsidR="009F6E8D">
        <w:rPr>
          <w:sz w:val="24"/>
          <w:szCs w:val="24"/>
        </w:rPr>
        <w:t>sia ai criteri per individuare la</w:t>
      </w:r>
      <w:r w:rsidRPr="00CE1453">
        <w:rPr>
          <w:sz w:val="24"/>
          <w:szCs w:val="24"/>
        </w:rPr>
        <w:t xml:space="preserve"> soggettività passiva </w:t>
      </w:r>
      <w:r w:rsidR="009F6E8D">
        <w:rPr>
          <w:sz w:val="24"/>
          <w:szCs w:val="24"/>
        </w:rPr>
        <w:t>a carico delle</w:t>
      </w:r>
      <w:r w:rsidRPr="00CE1453">
        <w:rPr>
          <w:sz w:val="24"/>
          <w:szCs w:val="24"/>
        </w:rPr>
        <w:t xml:space="preserve"> aziende che nel nostro Paese </w:t>
      </w:r>
      <w:r w:rsidR="009F6E8D">
        <w:rPr>
          <w:sz w:val="24"/>
          <w:szCs w:val="24"/>
        </w:rPr>
        <w:t xml:space="preserve">erogano i servizi, sia ai diversi criteri di calcolo utilizzati </w:t>
      </w:r>
      <w:r w:rsidR="00D74B65">
        <w:rPr>
          <w:sz w:val="24"/>
          <w:szCs w:val="24"/>
        </w:rPr>
        <w:t xml:space="preserve">dai gestori per liquidare il dovuto in base alle utenze attive </w:t>
      </w:r>
      <w:r w:rsidR="009F6E8D">
        <w:rPr>
          <w:sz w:val="24"/>
          <w:szCs w:val="24"/>
        </w:rPr>
        <w:t>in relazione ai</w:t>
      </w:r>
      <w:r w:rsidR="00D74B65">
        <w:rPr>
          <w:sz w:val="24"/>
          <w:szCs w:val="24"/>
        </w:rPr>
        <w:t xml:space="preserve"> servizi erogati. </w:t>
      </w:r>
    </w:p>
    <w:p w14:paraId="6B54AF31" w14:textId="5A0F9F87" w:rsidR="00CE1453" w:rsidRPr="00CE1453" w:rsidRDefault="009F6E8D" w:rsidP="00CE1453">
      <w:pPr>
        <w:jc w:val="both"/>
        <w:rPr>
          <w:sz w:val="24"/>
          <w:szCs w:val="24"/>
        </w:rPr>
      </w:pPr>
      <w:r>
        <w:rPr>
          <w:sz w:val="24"/>
          <w:szCs w:val="24"/>
        </w:rPr>
        <w:t xml:space="preserve">Oggi torniamo sul tema concentrando l’attenzione sui servizi legato al Ciclo Idrico. Settore nel quale dobbiamo registrare una varietà di comportamenti </w:t>
      </w:r>
      <w:r w:rsidR="00CE1453" w:rsidRPr="00CE1453">
        <w:rPr>
          <w:sz w:val="24"/>
          <w:szCs w:val="24"/>
        </w:rPr>
        <w:t xml:space="preserve">nei diversi ambiti territoriali distribuiti nel Paese. </w:t>
      </w:r>
      <w:r w:rsidR="00265C4E">
        <w:rPr>
          <w:sz w:val="24"/>
          <w:szCs w:val="24"/>
        </w:rPr>
        <w:t xml:space="preserve">Alcune </w:t>
      </w:r>
      <w:r>
        <w:rPr>
          <w:sz w:val="24"/>
          <w:szCs w:val="24"/>
        </w:rPr>
        <w:t xml:space="preserve">aziende </w:t>
      </w:r>
      <w:r w:rsidR="00CE1453" w:rsidRPr="00CE1453">
        <w:rPr>
          <w:sz w:val="24"/>
          <w:szCs w:val="24"/>
        </w:rPr>
        <w:t xml:space="preserve">non </w:t>
      </w:r>
      <w:r w:rsidR="00265C4E">
        <w:rPr>
          <w:sz w:val="24"/>
          <w:szCs w:val="24"/>
        </w:rPr>
        <w:t>hanno mai</w:t>
      </w:r>
      <w:r w:rsidR="00CE1453" w:rsidRPr="00CE1453">
        <w:rPr>
          <w:sz w:val="24"/>
          <w:szCs w:val="24"/>
        </w:rPr>
        <w:t xml:space="preserve"> versato nulla</w:t>
      </w:r>
      <w:r w:rsidR="00265C4E">
        <w:rPr>
          <w:sz w:val="24"/>
          <w:szCs w:val="24"/>
        </w:rPr>
        <w:t xml:space="preserve"> (ritenendosi estranee o esenti </w:t>
      </w:r>
      <w:r>
        <w:rPr>
          <w:sz w:val="24"/>
          <w:szCs w:val="24"/>
        </w:rPr>
        <w:t xml:space="preserve">rispetto </w:t>
      </w:r>
      <w:r w:rsidR="00265C4E">
        <w:rPr>
          <w:sz w:val="24"/>
          <w:szCs w:val="24"/>
        </w:rPr>
        <w:t>al presupposto)</w:t>
      </w:r>
      <w:r w:rsidR="00CE1453" w:rsidRPr="00CE1453">
        <w:rPr>
          <w:sz w:val="24"/>
          <w:szCs w:val="24"/>
        </w:rPr>
        <w:t xml:space="preserve">, </w:t>
      </w:r>
      <w:r w:rsidR="00265C4E">
        <w:rPr>
          <w:sz w:val="24"/>
          <w:szCs w:val="24"/>
        </w:rPr>
        <w:t xml:space="preserve">altre </w:t>
      </w:r>
      <w:r w:rsidR="00CE1453" w:rsidRPr="00CE1453">
        <w:rPr>
          <w:sz w:val="24"/>
          <w:szCs w:val="24"/>
        </w:rPr>
        <w:t xml:space="preserve">invece </w:t>
      </w:r>
      <w:r w:rsidR="00265C4E">
        <w:rPr>
          <w:sz w:val="24"/>
          <w:szCs w:val="24"/>
        </w:rPr>
        <w:t xml:space="preserve">hanno </w:t>
      </w:r>
      <w:r w:rsidR="00CE1453" w:rsidRPr="00CE1453">
        <w:rPr>
          <w:sz w:val="24"/>
          <w:szCs w:val="24"/>
        </w:rPr>
        <w:t xml:space="preserve">conteggiato </w:t>
      </w:r>
      <w:r w:rsidR="00265C4E">
        <w:rPr>
          <w:sz w:val="24"/>
          <w:szCs w:val="24"/>
        </w:rPr>
        <w:t xml:space="preserve">il dovuto sulla base di </w:t>
      </w:r>
      <w:r w:rsidR="00CE1453" w:rsidRPr="00CE1453">
        <w:rPr>
          <w:sz w:val="24"/>
          <w:szCs w:val="24"/>
        </w:rPr>
        <w:t>un unico servizio</w:t>
      </w:r>
      <w:r w:rsidR="00265C4E">
        <w:rPr>
          <w:sz w:val="24"/>
          <w:szCs w:val="24"/>
        </w:rPr>
        <w:t xml:space="preserve"> erogato (il servizio di </w:t>
      </w:r>
      <w:r w:rsidR="00CE1453" w:rsidRPr="00CE1453">
        <w:rPr>
          <w:sz w:val="24"/>
          <w:szCs w:val="24"/>
        </w:rPr>
        <w:t>acqua potabile) ed altr</w:t>
      </w:r>
      <w:r w:rsidR="00265C4E">
        <w:rPr>
          <w:sz w:val="24"/>
          <w:szCs w:val="24"/>
        </w:rPr>
        <w:t xml:space="preserve">e </w:t>
      </w:r>
      <w:r>
        <w:rPr>
          <w:sz w:val="24"/>
          <w:szCs w:val="24"/>
        </w:rPr>
        <w:t>infine</w:t>
      </w:r>
      <w:r w:rsidR="00265C4E">
        <w:rPr>
          <w:sz w:val="24"/>
          <w:szCs w:val="24"/>
        </w:rPr>
        <w:t xml:space="preserve"> hanno sempre </w:t>
      </w:r>
      <w:r w:rsidR="00CE1453" w:rsidRPr="00CE1453">
        <w:rPr>
          <w:sz w:val="24"/>
          <w:szCs w:val="24"/>
        </w:rPr>
        <w:t xml:space="preserve">versato in relazione sia all’erogazione del servizio di acqua </w:t>
      </w:r>
      <w:r w:rsidR="00265C4E">
        <w:rPr>
          <w:sz w:val="24"/>
          <w:szCs w:val="24"/>
        </w:rPr>
        <w:t xml:space="preserve">potabile </w:t>
      </w:r>
      <w:r>
        <w:rPr>
          <w:sz w:val="24"/>
          <w:szCs w:val="24"/>
        </w:rPr>
        <w:t>sia</w:t>
      </w:r>
      <w:r w:rsidR="00CE1453" w:rsidRPr="00CE1453">
        <w:rPr>
          <w:sz w:val="24"/>
          <w:szCs w:val="24"/>
        </w:rPr>
        <w:t xml:space="preserve"> per </w:t>
      </w:r>
      <w:r w:rsidR="00265C4E">
        <w:rPr>
          <w:sz w:val="24"/>
          <w:szCs w:val="24"/>
        </w:rPr>
        <w:t>l’</w:t>
      </w:r>
      <w:r w:rsidR="00CE1453" w:rsidRPr="00CE1453">
        <w:rPr>
          <w:sz w:val="24"/>
          <w:szCs w:val="24"/>
        </w:rPr>
        <w:t xml:space="preserve">allacciamento alla rete fognaria. </w:t>
      </w:r>
    </w:p>
    <w:p w14:paraId="2AD1E1B7" w14:textId="77777777" w:rsidR="00265C4E" w:rsidRPr="00265C4E" w:rsidRDefault="00265C4E" w:rsidP="00CE1453">
      <w:pPr>
        <w:jc w:val="both"/>
        <w:rPr>
          <w:b/>
          <w:bCs/>
          <w:sz w:val="24"/>
          <w:szCs w:val="24"/>
        </w:rPr>
      </w:pPr>
      <w:r w:rsidRPr="00265C4E">
        <w:rPr>
          <w:b/>
          <w:bCs/>
          <w:sz w:val="24"/>
          <w:szCs w:val="24"/>
        </w:rPr>
        <w:t>Riferimenti normativi</w:t>
      </w:r>
    </w:p>
    <w:p w14:paraId="50CCE725" w14:textId="77777777" w:rsidR="00CE1453" w:rsidRPr="00CE1453" w:rsidRDefault="00CE1453" w:rsidP="00CE1453">
      <w:pPr>
        <w:jc w:val="both"/>
        <w:rPr>
          <w:sz w:val="24"/>
          <w:szCs w:val="24"/>
        </w:rPr>
      </w:pPr>
      <w:r w:rsidRPr="00CE1453">
        <w:rPr>
          <w:sz w:val="24"/>
          <w:szCs w:val="24"/>
        </w:rPr>
        <w:t xml:space="preserve">Per capire il corretto approccio da riservare alla quantificazione del canone per i servizi legati al sistema idrico integrato, dobbiamo </w:t>
      </w:r>
      <w:r w:rsidR="00265C4E">
        <w:rPr>
          <w:sz w:val="24"/>
          <w:szCs w:val="24"/>
        </w:rPr>
        <w:t xml:space="preserve">preliminarmente </w:t>
      </w:r>
      <w:r w:rsidRPr="00CE1453">
        <w:rPr>
          <w:sz w:val="24"/>
          <w:szCs w:val="24"/>
        </w:rPr>
        <w:t xml:space="preserve">analizzare gli articoli del Decreto legislativo 152 del 2007 e le indicazioni fornite di ARERA, l’Autorità di Regolazione per Energia Reti e Ambiente. </w:t>
      </w:r>
    </w:p>
    <w:p w14:paraId="5FCC6316" w14:textId="77777777" w:rsidR="00CE1453" w:rsidRPr="00CE1453" w:rsidRDefault="00CE1453" w:rsidP="00CE1453">
      <w:pPr>
        <w:jc w:val="both"/>
        <w:rPr>
          <w:sz w:val="24"/>
          <w:szCs w:val="24"/>
        </w:rPr>
      </w:pPr>
      <w:r w:rsidRPr="00CE1453">
        <w:rPr>
          <w:sz w:val="24"/>
          <w:szCs w:val="24"/>
        </w:rPr>
        <w:t xml:space="preserve">L’articolo 147 del decreto chiarisce innanzi tutto che i servizi idrici sono organizzati sulla base degli Ambiti Territoriali Ottimali (ATO), ossia porzioni di territorio la cui delimitazione è definita dalle Regioni nel rispetto di diversi principi, che hanno portato a registrare 64 ambiti, distribuiti sul territorio nazionale e che saranno quindi oggetto di valutazione sotto il profilo fiscale derivante dall’applicazione del CUP da parte dei singoli enti territoriali serviti dal gestore di ciascun ATO. </w:t>
      </w:r>
    </w:p>
    <w:p w14:paraId="3F022B5E" w14:textId="77777777" w:rsidR="00CE1453" w:rsidRPr="00CE1453" w:rsidRDefault="00CE1453" w:rsidP="00CE1453">
      <w:pPr>
        <w:jc w:val="both"/>
        <w:rPr>
          <w:sz w:val="24"/>
          <w:szCs w:val="24"/>
        </w:rPr>
      </w:pPr>
      <w:r w:rsidRPr="00CE1453">
        <w:rPr>
          <w:sz w:val="24"/>
          <w:szCs w:val="24"/>
        </w:rPr>
        <w:t xml:space="preserve">Così come riportato nel D.P.C.M. 20 luglio 2012, il servizio idrico integrato, gestito, secondo principi di efficienza, efficacia ed economicità, nel rispetto delle norme nazionali e comunitarie, è costituito dall'insieme dei servizi pubblici di captazione, adduzione e distribuzione di acqua ad usi civili, di fognatura e depurazione delle acque reflue, compresi i servizi di captazione adduzione a usi multipli e i servizi di depurazione ad usi misti civili e industriali. </w:t>
      </w:r>
    </w:p>
    <w:p w14:paraId="51468FF6" w14:textId="77777777" w:rsidR="00CE1453" w:rsidRPr="00CE1453" w:rsidRDefault="00CE1453" w:rsidP="00CE1453">
      <w:pPr>
        <w:jc w:val="both"/>
        <w:rPr>
          <w:sz w:val="24"/>
          <w:szCs w:val="24"/>
        </w:rPr>
      </w:pPr>
      <w:r w:rsidRPr="00CE1453">
        <w:rPr>
          <w:sz w:val="24"/>
          <w:szCs w:val="24"/>
        </w:rPr>
        <w:t xml:space="preserve">Ecco quindi che i servizi di riferimento nel sistema idrico integrato sono sostanzialmente tre: erogazione acqua, allaccio alla fognatura e depurazione delle acque reflue. </w:t>
      </w:r>
    </w:p>
    <w:p w14:paraId="1B0DAFE7" w14:textId="77777777" w:rsidR="00CE1453" w:rsidRDefault="00CE1453" w:rsidP="00CE1453">
      <w:pPr>
        <w:jc w:val="both"/>
        <w:rPr>
          <w:sz w:val="24"/>
          <w:szCs w:val="24"/>
        </w:rPr>
      </w:pPr>
      <w:r w:rsidRPr="00CE1453">
        <w:rPr>
          <w:sz w:val="24"/>
          <w:szCs w:val="24"/>
        </w:rPr>
        <w:t xml:space="preserve">Quelli effettivamente rilevanti ai fini dell’applicazione del Canone Unico in base alle disposizioni contenute nel comma 831, e in base ai requisiti oggettivi e soggettivi previsti per definire un servizio pubblico, sono </w:t>
      </w:r>
      <w:r w:rsidR="000374B2">
        <w:rPr>
          <w:sz w:val="24"/>
          <w:szCs w:val="24"/>
        </w:rPr>
        <w:t xml:space="preserve">pertanto </w:t>
      </w:r>
      <w:r w:rsidRPr="00CE1453">
        <w:rPr>
          <w:sz w:val="24"/>
          <w:szCs w:val="24"/>
        </w:rPr>
        <w:t>quelli di distribuzione dell’acqua potabile e quello di allaccio alla rete fognaria. Due distinti servizi che vengono erogati alle singole utenze.</w:t>
      </w:r>
    </w:p>
    <w:p w14:paraId="7721FB18" w14:textId="77777777" w:rsidR="000374B2" w:rsidRDefault="000374B2" w:rsidP="00CE1453">
      <w:pPr>
        <w:jc w:val="both"/>
        <w:rPr>
          <w:b/>
          <w:bCs/>
          <w:sz w:val="24"/>
          <w:szCs w:val="24"/>
        </w:rPr>
      </w:pPr>
      <w:r w:rsidRPr="000374B2">
        <w:rPr>
          <w:b/>
          <w:bCs/>
          <w:sz w:val="24"/>
          <w:szCs w:val="24"/>
        </w:rPr>
        <w:t>La sentenza della Corte di Cassazione</w:t>
      </w:r>
    </w:p>
    <w:p w14:paraId="6DAAC12D" w14:textId="0E74FFE2" w:rsidR="00960CF8" w:rsidRPr="000374B2" w:rsidRDefault="009F6E8D" w:rsidP="00CE1453">
      <w:pPr>
        <w:jc w:val="both"/>
        <w:rPr>
          <w:b/>
          <w:bCs/>
          <w:sz w:val="24"/>
          <w:szCs w:val="24"/>
        </w:rPr>
      </w:pPr>
      <w:r>
        <w:rPr>
          <w:sz w:val="24"/>
          <w:szCs w:val="24"/>
        </w:rPr>
        <w:t>Nella ricerca della</w:t>
      </w:r>
      <w:r w:rsidR="000374B2">
        <w:rPr>
          <w:sz w:val="24"/>
          <w:szCs w:val="24"/>
        </w:rPr>
        <w:t xml:space="preserve"> corretta linea da seguire da parte degli uffici fiscali degli enti locali in merito ai controlli dedicati al pagamento del Canone per il servizio idrico, intervenne già nel 2020 la</w:t>
      </w:r>
      <w:r w:rsidR="00960CF8">
        <w:rPr>
          <w:sz w:val="24"/>
          <w:szCs w:val="24"/>
        </w:rPr>
        <w:t xml:space="preserve"> </w:t>
      </w:r>
      <w:r w:rsidR="000374B2">
        <w:rPr>
          <w:sz w:val="24"/>
          <w:szCs w:val="24"/>
        </w:rPr>
        <w:t>S</w:t>
      </w:r>
      <w:r w:rsidR="00960CF8">
        <w:rPr>
          <w:sz w:val="24"/>
          <w:szCs w:val="24"/>
        </w:rPr>
        <w:t xml:space="preserve">ezione V della Corte di Cassazione, con la </w:t>
      </w:r>
      <w:r w:rsidR="00960CF8" w:rsidRPr="00BC46A0">
        <w:rPr>
          <w:sz w:val="24"/>
          <w:szCs w:val="24"/>
        </w:rPr>
        <w:t>sentenza n. 2180 del 30.01.2020</w:t>
      </w:r>
      <w:r w:rsidR="00960CF8">
        <w:rPr>
          <w:sz w:val="24"/>
          <w:szCs w:val="24"/>
        </w:rPr>
        <w:t xml:space="preserve">, </w:t>
      </w:r>
      <w:r w:rsidR="000374B2">
        <w:rPr>
          <w:sz w:val="24"/>
          <w:szCs w:val="24"/>
        </w:rPr>
        <w:t xml:space="preserve">che si occupò </w:t>
      </w:r>
      <w:r w:rsidR="0069264B">
        <w:rPr>
          <w:sz w:val="24"/>
          <w:szCs w:val="24"/>
        </w:rPr>
        <w:t xml:space="preserve">proprio </w:t>
      </w:r>
      <w:r w:rsidR="000374B2">
        <w:rPr>
          <w:sz w:val="24"/>
          <w:szCs w:val="24"/>
        </w:rPr>
        <w:t>dell</w:t>
      </w:r>
      <w:r>
        <w:rPr>
          <w:sz w:val="24"/>
          <w:szCs w:val="24"/>
        </w:rPr>
        <w:t>’</w:t>
      </w:r>
      <w:r w:rsidR="00960CF8">
        <w:rPr>
          <w:sz w:val="24"/>
          <w:szCs w:val="24"/>
        </w:rPr>
        <w:t>applicazione del</w:t>
      </w:r>
      <w:r w:rsidR="000374B2">
        <w:rPr>
          <w:sz w:val="24"/>
          <w:szCs w:val="24"/>
        </w:rPr>
        <w:t>l’allora</w:t>
      </w:r>
      <w:r w:rsidR="00960CF8">
        <w:rPr>
          <w:sz w:val="24"/>
          <w:szCs w:val="24"/>
        </w:rPr>
        <w:t xml:space="preserve"> </w:t>
      </w:r>
      <w:r w:rsidR="0069264B">
        <w:rPr>
          <w:sz w:val="24"/>
          <w:szCs w:val="24"/>
        </w:rPr>
        <w:t>prelievo</w:t>
      </w:r>
      <w:r w:rsidR="00960CF8">
        <w:rPr>
          <w:sz w:val="24"/>
          <w:szCs w:val="24"/>
        </w:rPr>
        <w:t xml:space="preserve"> per i servizi di rete</w:t>
      </w:r>
      <w:r w:rsidR="0069264B">
        <w:rPr>
          <w:sz w:val="24"/>
          <w:szCs w:val="24"/>
        </w:rPr>
        <w:t xml:space="preserve"> in regime TOSAP</w:t>
      </w:r>
      <w:r w:rsidR="00960CF8">
        <w:rPr>
          <w:sz w:val="24"/>
          <w:szCs w:val="24"/>
        </w:rPr>
        <w:t xml:space="preserve"> </w:t>
      </w:r>
      <w:r w:rsidR="000374B2">
        <w:rPr>
          <w:sz w:val="24"/>
          <w:szCs w:val="24"/>
        </w:rPr>
        <w:t xml:space="preserve">(mutuato oggi in regime </w:t>
      </w:r>
      <w:r w:rsidR="000374B2">
        <w:rPr>
          <w:sz w:val="24"/>
          <w:szCs w:val="24"/>
        </w:rPr>
        <w:lastRenderedPageBreak/>
        <w:t xml:space="preserve">CUP) </w:t>
      </w:r>
      <w:r w:rsidR="00960CF8">
        <w:rPr>
          <w:sz w:val="24"/>
          <w:szCs w:val="24"/>
        </w:rPr>
        <w:t xml:space="preserve">a carico di una società </w:t>
      </w:r>
      <w:r w:rsidR="00960CF8" w:rsidRPr="006F156A">
        <w:rPr>
          <w:sz w:val="24"/>
          <w:szCs w:val="24"/>
        </w:rPr>
        <w:t>a partecipazione mista pubblico-privata</w:t>
      </w:r>
      <w:r w:rsidR="00960CF8">
        <w:rPr>
          <w:sz w:val="24"/>
          <w:szCs w:val="24"/>
        </w:rPr>
        <w:t xml:space="preserve"> che gestiva, e gestisce tuttora, il servizio idrico integrato nell’Umbria.</w:t>
      </w:r>
    </w:p>
    <w:p w14:paraId="4AC1C61F" w14:textId="601C6DE5" w:rsidR="00960CF8" w:rsidRDefault="00960CF8" w:rsidP="00960CF8">
      <w:pPr>
        <w:jc w:val="both"/>
        <w:rPr>
          <w:sz w:val="24"/>
          <w:szCs w:val="24"/>
        </w:rPr>
      </w:pPr>
      <w:r>
        <w:rPr>
          <w:sz w:val="24"/>
          <w:szCs w:val="24"/>
        </w:rPr>
        <w:t xml:space="preserve">In particolare </w:t>
      </w:r>
      <w:r w:rsidR="009F6E8D">
        <w:rPr>
          <w:sz w:val="24"/>
          <w:szCs w:val="24"/>
        </w:rPr>
        <w:t xml:space="preserve">in questa </w:t>
      </w:r>
      <w:r w:rsidR="000374B2">
        <w:rPr>
          <w:sz w:val="24"/>
          <w:szCs w:val="24"/>
        </w:rPr>
        <w:t xml:space="preserve">sentenza </w:t>
      </w:r>
      <w:r>
        <w:rPr>
          <w:sz w:val="24"/>
          <w:szCs w:val="24"/>
        </w:rPr>
        <w:t xml:space="preserve">fu </w:t>
      </w:r>
      <w:r w:rsidR="009F6E8D">
        <w:rPr>
          <w:sz w:val="24"/>
          <w:szCs w:val="24"/>
        </w:rPr>
        <w:t>evidenziato</w:t>
      </w:r>
      <w:r>
        <w:rPr>
          <w:sz w:val="24"/>
          <w:szCs w:val="24"/>
        </w:rPr>
        <w:t xml:space="preserve"> come l’applicazione del canone </w:t>
      </w:r>
      <w:r w:rsidR="009F6E8D">
        <w:rPr>
          <w:sz w:val="24"/>
          <w:szCs w:val="24"/>
        </w:rPr>
        <w:t>dovesse</w:t>
      </w:r>
      <w:r>
        <w:rPr>
          <w:sz w:val="24"/>
          <w:szCs w:val="24"/>
        </w:rPr>
        <w:t xml:space="preserve"> riguardare due distinti servizi, quello di erogazione dell’acqua potabile e quello di fognatura.</w:t>
      </w:r>
    </w:p>
    <w:p w14:paraId="06DA66F6" w14:textId="77777777" w:rsidR="00FD5629" w:rsidRDefault="00960CF8" w:rsidP="00FD5629">
      <w:pPr>
        <w:jc w:val="both"/>
        <w:rPr>
          <w:sz w:val="24"/>
          <w:szCs w:val="24"/>
        </w:rPr>
      </w:pPr>
      <w:r>
        <w:rPr>
          <w:sz w:val="24"/>
          <w:szCs w:val="24"/>
        </w:rPr>
        <w:t xml:space="preserve">I giudici della Suprema Corte </w:t>
      </w:r>
      <w:r w:rsidR="000374B2">
        <w:rPr>
          <w:sz w:val="24"/>
          <w:szCs w:val="24"/>
        </w:rPr>
        <w:t>scrissero infatti</w:t>
      </w:r>
      <w:r>
        <w:rPr>
          <w:sz w:val="24"/>
          <w:szCs w:val="24"/>
        </w:rPr>
        <w:t xml:space="preserve">: </w:t>
      </w:r>
      <w:r w:rsidR="00FD5629" w:rsidRPr="00FD5629">
        <w:rPr>
          <w:i/>
          <w:iCs/>
          <w:sz w:val="24"/>
          <w:szCs w:val="24"/>
        </w:rPr>
        <w:t>“Occorre infatti tenere distinte ai fini in questione la natura unitaria della gestione del servizio, dall'occupazione dello spazio pubblico degli impianti relativo alle condotte fognarie, che si differenzia da quella delle condotte idriche sicché non si può parlare di una duplicazione di tassazione.”</w:t>
      </w:r>
    </w:p>
    <w:p w14:paraId="03AC9ABA" w14:textId="77777777" w:rsidR="00960CF8" w:rsidRDefault="00FD5629" w:rsidP="00960CF8">
      <w:pPr>
        <w:jc w:val="both"/>
        <w:rPr>
          <w:i/>
          <w:iCs/>
          <w:sz w:val="24"/>
          <w:szCs w:val="24"/>
        </w:rPr>
      </w:pPr>
      <w:r>
        <w:rPr>
          <w:sz w:val="24"/>
          <w:szCs w:val="24"/>
        </w:rPr>
        <w:t xml:space="preserve">Sulla base di questo principio: </w:t>
      </w:r>
      <w:r w:rsidR="00960CF8" w:rsidRPr="00861726">
        <w:rPr>
          <w:i/>
          <w:iCs/>
          <w:sz w:val="24"/>
          <w:szCs w:val="24"/>
        </w:rPr>
        <w:t>“La società Umbra Acque s.p.a, quale affidataria del servizio idrico integrato, utilizza il suolo pubblico per un uso specifico percependo per l'attività economica resa un introito diverso per la prestazione idrica e per quella fognaria ed è pertanto legittima la pretesa impositiva avanzata dalla Provincia in relazione alla sottrazione del proprio patrimonio alla generalità dei cittadini, che rappresenta il presupposto per la tassazione.”</w:t>
      </w:r>
    </w:p>
    <w:p w14:paraId="0FB87D42" w14:textId="69581CC1" w:rsidR="00FD5629" w:rsidRDefault="0069264B" w:rsidP="00960CF8">
      <w:pPr>
        <w:jc w:val="both"/>
        <w:rPr>
          <w:sz w:val="24"/>
          <w:szCs w:val="24"/>
        </w:rPr>
      </w:pPr>
      <w:r>
        <w:rPr>
          <w:sz w:val="24"/>
          <w:szCs w:val="24"/>
        </w:rPr>
        <w:t>La sentenza della Cassazione rappresenta ancora oggi un punto di riferimento</w:t>
      </w:r>
      <w:r w:rsidR="000B5E49">
        <w:rPr>
          <w:sz w:val="24"/>
          <w:szCs w:val="24"/>
        </w:rPr>
        <w:t xml:space="preserve"> importante</w:t>
      </w:r>
      <w:r>
        <w:rPr>
          <w:sz w:val="24"/>
          <w:szCs w:val="24"/>
        </w:rPr>
        <w:t xml:space="preserve"> per gli uffici dei Comuni nel condurre la propria attività di controllo e accertamento nei confronti </w:t>
      </w:r>
      <w:r w:rsidR="000B5E49">
        <w:rPr>
          <w:sz w:val="24"/>
          <w:szCs w:val="24"/>
        </w:rPr>
        <w:t xml:space="preserve">di quelle società </w:t>
      </w:r>
      <w:r>
        <w:rPr>
          <w:sz w:val="24"/>
          <w:szCs w:val="24"/>
        </w:rPr>
        <w:t>che erogano i servizi del ciclo idrico,</w:t>
      </w:r>
      <w:r w:rsidR="009F6E8D">
        <w:rPr>
          <w:sz w:val="24"/>
          <w:szCs w:val="24"/>
        </w:rPr>
        <w:t xml:space="preserve"> </w:t>
      </w:r>
      <w:r w:rsidR="000B5E49">
        <w:rPr>
          <w:sz w:val="24"/>
          <w:szCs w:val="24"/>
        </w:rPr>
        <w:t xml:space="preserve">e </w:t>
      </w:r>
      <w:r w:rsidR="009F6E8D">
        <w:rPr>
          <w:sz w:val="24"/>
          <w:szCs w:val="24"/>
        </w:rPr>
        <w:t xml:space="preserve">che erroneamente interpretano la loro condizione soggettiva o l’individuazione dei servizi erogati </w:t>
      </w:r>
      <w:r w:rsidR="000B5E49">
        <w:rPr>
          <w:sz w:val="24"/>
          <w:szCs w:val="24"/>
        </w:rPr>
        <w:t xml:space="preserve">sottoposti a pagamento CUP, </w:t>
      </w:r>
      <w:r w:rsidR="009F6E8D">
        <w:rPr>
          <w:sz w:val="24"/>
          <w:szCs w:val="24"/>
        </w:rPr>
        <w:t>tale da portarle  a non versare il canone o</w:t>
      </w:r>
      <w:r w:rsidR="000B5E49">
        <w:rPr>
          <w:sz w:val="24"/>
          <w:szCs w:val="24"/>
        </w:rPr>
        <w:t xml:space="preserve">ppure a </w:t>
      </w:r>
      <w:r w:rsidR="009F6E8D">
        <w:rPr>
          <w:sz w:val="24"/>
          <w:szCs w:val="24"/>
        </w:rPr>
        <w:t xml:space="preserve">versarlo </w:t>
      </w:r>
      <w:r w:rsidR="000B5E49">
        <w:rPr>
          <w:sz w:val="24"/>
          <w:szCs w:val="24"/>
        </w:rPr>
        <w:t xml:space="preserve">solo </w:t>
      </w:r>
      <w:r w:rsidR="009F6E8D">
        <w:rPr>
          <w:sz w:val="24"/>
          <w:szCs w:val="24"/>
        </w:rPr>
        <w:t>parzialmente.</w:t>
      </w:r>
      <w:r>
        <w:rPr>
          <w:sz w:val="24"/>
          <w:szCs w:val="24"/>
        </w:rPr>
        <w:t xml:space="preserve"> </w:t>
      </w:r>
    </w:p>
    <w:p w14:paraId="74B5D31A" w14:textId="77777777" w:rsidR="000B5E49" w:rsidRPr="00FD5629" w:rsidRDefault="000B5E49" w:rsidP="00960CF8">
      <w:pPr>
        <w:jc w:val="both"/>
        <w:rPr>
          <w:sz w:val="24"/>
          <w:szCs w:val="24"/>
        </w:rPr>
      </w:pPr>
    </w:p>
    <w:p w14:paraId="33A9FC7B" w14:textId="77777777" w:rsidR="006672EA" w:rsidRDefault="006672EA"/>
    <w:sectPr w:rsidR="006672E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F8"/>
    <w:rsid w:val="000374B2"/>
    <w:rsid w:val="000B5E49"/>
    <w:rsid w:val="00265C4E"/>
    <w:rsid w:val="00366798"/>
    <w:rsid w:val="00611958"/>
    <w:rsid w:val="006672EA"/>
    <w:rsid w:val="0069264B"/>
    <w:rsid w:val="00960CF8"/>
    <w:rsid w:val="009F6E8D"/>
    <w:rsid w:val="00C10F23"/>
    <w:rsid w:val="00CE1453"/>
    <w:rsid w:val="00D74B65"/>
    <w:rsid w:val="00EB21CC"/>
    <w:rsid w:val="00F37245"/>
    <w:rsid w:val="00FD56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C2D7"/>
  <w15:chartTrackingRefBased/>
  <w15:docId w15:val="{4C200E42-429A-407B-B15E-E168AACF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60CF8"/>
  </w:style>
  <w:style w:type="paragraph" w:styleId="Titolo1">
    <w:name w:val="heading 1"/>
    <w:basedOn w:val="Normale"/>
    <w:next w:val="Normale"/>
    <w:link w:val="Titolo1Carattere"/>
    <w:uiPriority w:val="9"/>
    <w:qFormat/>
    <w:rsid w:val="00960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60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60CF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60CF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60CF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60CF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60CF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60CF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60CF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60CF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60CF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60CF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60CF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60CF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60CF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60CF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60CF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60CF8"/>
    <w:rPr>
      <w:rFonts w:eastAsiaTheme="majorEastAsia" w:cstheme="majorBidi"/>
      <w:color w:val="272727" w:themeColor="text1" w:themeTint="D8"/>
    </w:rPr>
  </w:style>
  <w:style w:type="paragraph" w:styleId="Titolo">
    <w:name w:val="Title"/>
    <w:basedOn w:val="Normale"/>
    <w:next w:val="Normale"/>
    <w:link w:val="TitoloCarattere"/>
    <w:uiPriority w:val="10"/>
    <w:qFormat/>
    <w:rsid w:val="00960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60C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60CF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60CF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60C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60CF8"/>
    <w:rPr>
      <w:i/>
      <w:iCs/>
      <w:color w:val="404040" w:themeColor="text1" w:themeTint="BF"/>
    </w:rPr>
  </w:style>
  <w:style w:type="paragraph" w:styleId="Paragrafoelenco">
    <w:name w:val="List Paragraph"/>
    <w:basedOn w:val="Normale"/>
    <w:uiPriority w:val="34"/>
    <w:qFormat/>
    <w:rsid w:val="00960CF8"/>
    <w:pPr>
      <w:ind w:left="720"/>
      <w:contextualSpacing/>
    </w:pPr>
  </w:style>
  <w:style w:type="character" w:styleId="Enfasiintensa">
    <w:name w:val="Intense Emphasis"/>
    <w:basedOn w:val="Carpredefinitoparagrafo"/>
    <w:uiPriority w:val="21"/>
    <w:qFormat/>
    <w:rsid w:val="00960CF8"/>
    <w:rPr>
      <w:i/>
      <w:iCs/>
      <w:color w:val="2F5496" w:themeColor="accent1" w:themeShade="BF"/>
    </w:rPr>
  </w:style>
  <w:style w:type="paragraph" w:styleId="Citazioneintensa">
    <w:name w:val="Intense Quote"/>
    <w:basedOn w:val="Normale"/>
    <w:next w:val="Normale"/>
    <w:link w:val="CitazioneintensaCarattere"/>
    <w:uiPriority w:val="30"/>
    <w:qFormat/>
    <w:rsid w:val="00960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60CF8"/>
    <w:rPr>
      <w:i/>
      <w:iCs/>
      <w:color w:val="2F5496" w:themeColor="accent1" w:themeShade="BF"/>
    </w:rPr>
  </w:style>
  <w:style w:type="character" w:styleId="Riferimentointenso">
    <w:name w:val="Intense Reference"/>
    <w:basedOn w:val="Carpredefinitoparagrafo"/>
    <w:uiPriority w:val="32"/>
    <w:qFormat/>
    <w:rsid w:val="00960C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758</Words>
  <Characters>4324</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4</cp:revision>
  <dcterms:created xsi:type="dcterms:W3CDTF">2025-07-25T14:49:00Z</dcterms:created>
  <dcterms:modified xsi:type="dcterms:W3CDTF">2025-07-28T07:15:00Z</dcterms:modified>
</cp:coreProperties>
</file>