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1E50" w14:textId="0A747CAE" w:rsidR="000E136F" w:rsidRDefault="004D7E07">
      <w:r>
        <w:t>Titolo: Il Consiglio di Stato esclude il silenzio assenso nelle concessioni per l’occupazione del suolo pubblico</w:t>
      </w:r>
    </w:p>
    <w:p w14:paraId="0217D84A" w14:textId="039E2B83" w:rsidR="004D7E07" w:rsidRDefault="004D7E07">
      <w:r>
        <w:t>di Alessandro Merciari</w:t>
      </w:r>
    </w:p>
    <w:p w14:paraId="7382B185" w14:textId="77777777" w:rsidR="004D7E07" w:rsidRDefault="004D7E07"/>
    <w:p w14:paraId="147648EE" w14:textId="2555084F" w:rsidR="004D7E07" w:rsidRDefault="004D7E07" w:rsidP="004D7E07">
      <w:pPr>
        <w:jc w:val="both"/>
      </w:pPr>
      <w:r>
        <w:t xml:space="preserve">In una recente sentenza il Consiglio di Stato affronta il tema della necessità di ottenere una concessione espressa da parte del Comune per l’occupazione realizzata </w:t>
      </w:r>
      <w:r w:rsidR="002A770D">
        <w:t>su</w:t>
      </w:r>
      <w:r>
        <w:t xml:space="preserve"> aree pubbliche appartenenti al patrimonio indisponibile dell’Ente locale.</w:t>
      </w:r>
    </w:p>
    <w:p w14:paraId="69B4E9AD" w14:textId="6D3B6A31" w:rsidR="004D7E07" w:rsidRPr="004D7E07" w:rsidRDefault="004D7E07" w:rsidP="004D7E07">
      <w:pPr>
        <w:jc w:val="both"/>
        <w:rPr>
          <w:i/>
          <w:iCs/>
        </w:rPr>
      </w:pPr>
      <w:r>
        <w:t xml:space="preserve">Nella sentenza n. </w:t>
      </w:r>
      <w:r w:rsidR="00CE0FCF">
        <w:t xml:space="preserve">8190 </w:t>
      </w:r>
      <w:r>
        <w:t>del</w:t>
      </w:r>
      <w:r w:rsidR="00CE0FCF">
        <w:t xml:space="preserve"> 22/10/2025</w:t>
      </w:r>
      <w:r>
        <w:t xml:space="preserve"> si </w:t>
      </w:r>
      <w:r w:rsidR="002A770D">
        <w:t>ravvisa la non configurabilità dell’istituto del silenzio assenso laddove si scrive</w:t>
      </w:r>
      <w:r>
        <w:t>:</w:t>
      </w:r>
    </w:p>
    <w:p w14:paraId="42BD2EDF" w14:textId="77777777" w:rsidR="004D7E07" w:rsidRPr="004D7E07" w:rsidRDefault="004D7E07" w:rsidP="004D7E07">
      <w:pPr>
        <w:jc w:val="both"/>
        <w:rPr>
          <w:i/>
          <w:iCs/>
        </w:rPr>
      </w:pPr>
      <w:r w:rsidRPr="004D7E07">
        <w:rPr>
          <w:i/>
          <w:iCs/>
        </w:rPr>
        <w:t>“</w:t>
      </w:r>
      <w:r w:rsidRPr="004D7E07">
        <w:rPr>
          <w:i/>
          <w:iCs/>
        </w:rPr>
        <w:t>In tale contesto, il fatto che l'interessata avesse presentato apposita istanza ai fini del rilascio del titolo, così come l'eventuale (dedotta come illegittima) inerzia dell'amministrazione al riguardo (anche a seguito dell'introduzione della suddetta D.G.C. n. 218/2025) non valgono né a far insorgere il titolo stesso (in relazione al quale non può valere il regime del silenzio assenso, trattandosi appunto di titolo di natura concessoria: su tutte, cfr. Cons. Stato, V, 7 giugno 2022, n. 4660), né a rendere illegittima l'azione amministrativa che, constatata la (oggettiva) ricorrenza dei presupposti normativi nei sensi suindicati, è esitata nell'adozione del provvedimento di sospensione.</w:t>
      </w:r>
    </w:p>
    <w:p w14:paraId="6EBBEFC2" w14:textId="1D2D43A8" w:rsidR="004D7E07" w:rsidRPr="004D7E07" w:rsidRDefault="004D7E07" w:rsidP="004D7E07">
      <w:pPr>
        <w:jc w:val="both"/>
        <w:rPr>
          <w:i/>
          <w:iCs/>
        </w:rPr>
      </w:pPr>
      <w:r w:rsidRPr="004D7E07">
        <w:rPr>
          <w:i/>
          <w:iCs/>
        </w:rPr>
        <w:t>In tale prospettiva, anche l'eventuale (dedotta) illegittimità dell'inerzia dell'amministrazione (così come la ritenuta conformità dell'occupazione richiesta alla</w:t>
      </w:r>
      <w:r>
        <w:rPr>
          <w:i/>
          <w:iCs/>
        </w:rPr>
        <w:t xml:space="preserve"> </w:t>
      </w:r>
      <w:r w:rsidRPr="004D7E07">
        <w:rPr>
          <w:i/>
          <w:iCs/>
        </w:rPr>
        <w:t>pertinente disciplina) non valeva di certo a far venire ad esistenza un titolo per l'occupazione di suolo pubblico, imprescindibile per potervi far luogo.</w:t>
      </w:r>
      <w:r w:rsidRPr="004D7E07">
        <w:rPr>
          <w:i/>
          <w:iCs/>
        </w:rPr>
        <w:t>”</w:t>
      </w:r>
    </w:p>
    <w:p w14:paraId="2517969A" w14:textId="1B8E5C84" w:rsidR="004D7E07" w:rsidRDefault="004D7E07" w:rsidP="004D7E07">
      <w:pPr>
        <w:jc w:val="both"/>
      </w:pPr>
      <w:r>
        <w:t>Non è sufficiente quindi presentare istanza per occupare il suolo pubblico per legittimare un’occupazione. Anche una inerzia da parte degli uffici comunali nell’adottare un provvedimento di concessione o di diniego, non costituisce titolo ne rende legittima l’occupazione comunque realizzata in una situazione di silenzio e di inerzia da parte della Pubblica Amministrazione.</w:t>
      </w:r>
    </w:p>
    <w:p w14:paraId="285FBE53" w14:textId="0BE6582C" w:rsidR="004D7E07" w:rsidRDefault="004D7E07" w:rsidP="004D7E07">
      <w:pPr>
        <w:jc w:val="both"/>
      </w:pPr>
      <w:r>
        <w:t>Concetto ben espresso dai Giudici del Consiglio di Stato che valutano questo principio già sufficiente a rigettare l’appello proposto dalla società che aveva occupato abusivamente il suolo pubblico dopo che non aveva ricevuto riscontro alla propria istanza.</w:t>
      </w:r>
    </w:p>
    <w:p w14:paraId="32A920FE" w14:textId="7541D8C5" w:rsidR="008775C9" w:rsidRDefault="008775C9" w:rsidP="004D7E07">
      <w:pPr>
        <w:jc w:val="both"/>
      </w:pPr>
      <w:r>
        <w:t xml:space="preserve">Come richiamato in sentenza, principio già espresso in passato dallo stesso Consiglio di Stato nella sentenza n. 4660 del 07/06/2022 dove si leggeva: </w:t>
      </w:r>
      <w:r w:rsidRPr="008775C9">
        <w:rPr>
          <w:i/>
          <w:iCs/>
        </w:rPr>
        <w:t>“</w:t>
      </w:r>
      <w:r w:rsidRPr="008775C9">
        <w:rPr>
          <w:i/>
          <w:iCs/>
        </w:rPr>
        <w:t xml:space="preserve">L’occupazione di suolo pubblico richiede invero un provvedimento di concessione rilasciato dal Comune competente, provvedimento che non può essere sostituito dal silenzio-assenso ex art. 20 l. 241 del 1990 considerato che “il procedimento concessorio presuppone l’esercizio di una potestà discrezionale anzitutto </w:t>
      </w:r>
      <w:proofErr w:type="spellStart"/>
      <w:r w:rsidRPr="008775C9">
        <w:rPr>
          <w:i/>
          <w:iCs/>
        </w:rPr>
        <w:t>sull’an</w:t>
      </w:r>
      <w:proofErr w:type="spellEnd"/>
      <w:r w:rsidRPr="008775C9">
        <w:rPr>
          <w:i/>
          <w:iCs/>
        </w:rPr>
        <w:t>, che esclude in radice l’applicabilità del regime del silenzio-assenso” (CGA, 4 novembre 2021, n. 990 e 988; Cons. Stato, V, 6 novembre 2019, n. 7564; cfr. anche Id., 9 maggio 2017, n. 2109; nonché CGA, 9 ottobre 2019, n. 887, che dà rilievo all’impatto di siffatti procedimenti sul patrimonio culturale e paesaggistico e l’ambiente).</w:t>
      </w:r>
      <w:r w:rsidRPr="008775C9">
        <w:rPr>
          <w:i/>
          <w:iCs/>
        </w:rPr>
        <w:t>”</w:t>
      </w:r>
    </w:p>
    <w:p w14:paraId="6E7F9496" w14:textId="7ACF9A07" w:rsidR="009268FA" w:rsidRDefault="009268FA" w:rsidP="004D7E07">
      <w:pPr>
        <w:jc w:val="both"/>
      </w:pPr>
      <w:r>
        <w:t xml:space="preserve">Il tema è davvero importante in quella che </w:t>
      </w:r>
      <w:r w:rsidR="008775C9">
        <w:t xml:space="preserve">oggi </w:t>
      </w:r>
      <w:r>
        <w:t>è la prassi</w:t>
      </w:r>
      <w:r w:rsidR="008A1270">
        <w:t xml:space="preserve"> quotidiana</w:t>
      </w:r>
      <w:r>
        <w:t xml:space="preserve"> da seguire in ordine alle occupazioni e alle diffusioni pubblicitarie per le quali è sempre richiesto un provvedimento espresso da parte dell’ente proprietario della strada.</w:t>
      </w:r>
    </w:p>
    <w:p w14:paraId="2E09E19C" w14:textId="61817FC0" w:rsidR="008A1270" w:rsidRDefault="008A1270" w:rsidP="004D7E07">
      <w:pPr>
        <w:jc w:val="both"/>
      </w:pPr>
      <w:r>
        <w:t>Tornano alla mente le questioni legate all’utilizzo della SCIA per ottenere un provvedimento amministrativo di concessione o autorizzazione. Strumento che non può trovare spazio nell’ambito delle occupazioni di suolo pubblico regolate dall’articolo 20 del Codice della Strada e nell’ambito dei mezzi pubblicitari disciplinati all’articolo 23 del Codice della Strada e ovviamente dal Regolamento della nuova entrata patrimoniale.</w:t>
      </w:r>
    </w:p>
    <w:p w14:paraId="013BBB9A" w14:textId="77777777" w:rsidR="008E39F0" w:rsidRPr="008E39F0" w:rsidRDefault="008E39F0" w:rsidP="008E39F0">
      <w:pPr>
        <w:jc w:val="both"/>
      </w:pPr>
      <w:r w:rsidRPr="008E39F0">
        <w:t xml:space="preserve">Non c’è spazio quindi, né per quanto riguarda le autorizzazioni, né per le concessioni, del cosiddetto silenzio assenso, regolato dalla Legge 241 del 1990. </w:t>
      </w:r>
    </w:p>
    <w:p w14:paraId="1237A1ED" w14:textId="53462B62" w:rsidR="008E39F0" w:rsidRDefault="008E39F0" w:rsidP="008E39F0">
      <w:pPr>
        <w:jc w:val="both"/>
      </w:pPr>
      <w:r w:rsidRPr="008E39F0">
        <w:lastRenderedPageBreak/>
        <w:t>Questo istituto ricorre nei casi in cui il legislatore attribuisce all’inerzia dell’amministrazione il valore di provvedimento di accoglimento dell’istanza presentata dal privato, che in questo modo non dovrebbe subire le conseguenze negative che discendono da un comportamento inerte/omissivo dell’amministrazione, di fronte a un dovere di provvedere con l’adozione di un provvedimento entro un termine prestabilito</w:t>
      </w:r>
      <w:r w:rsidR="00B24DE3">
        <w:t>.</w:t>
      </w:r>
    </w:p>
    <w:p w14:paraId="3E125E3E" w14:textId="77777777" w:rsidR="00B24DE3" w:rsidRPr="00B24DE3" w:rsidRDefault="00B24DE3" w:rsidP="00B24DE3">
      <w:pPr>
        <w:jc w:val="both"/>
      </w:pPr>
      <w:r w:rsidRPr="00B24DE3">
        <w:t xml:space="preserve">Attraverso il silenzio assenso, quindi, il privato ottiene implicitamente l’autorizzazione allo svolgimento della sua attività senza subire i ritardi dell’azione amministrativa. </w:t>
      </w:r>
    </w:p>
    <w:p w14:paraId="61B63994" w14:textId="77777777" w:rsidR="00B24DE3" w:rsidRPr="00B24DE3" w:rsidRDefault="00B24DE3" w:rsidP="00B24DE3">
      <w:pPr>
        <w:jc w:val="both"/>
      </w:pPr>
      <w:r w:rsidRPr="00B24DE3">
        <w:t xml:space="preserve">Tuttavia in alcuni casi è espressamente escluso dalla legge, per esempio, per procedimenti e per atti riguardanti il patrimonio culturale e paesaggistico e nei casi in cui la legge qualifichi il silenzio della Pubblica Amministrazione come rigetto. </w:t>
      </w:r>
    </w:p>
    <w:p w14:paraId="26CBC06E" w14:textId="77777777" w:rsidR="00B24DE3" w:rsidRPr="00B24DE3" w:rsidRDefault="00B24DE3" w:rsidP="00B24DE3">
      <w:pPr>
        <w:jc w:val="both"/>
      </w:pPr>
      <w:r w:rsidRPr="00B24DE3">
        <w:t xml:space="preserve">Procedimento pertanto che non può trovare applicazione, neppure in tema di rilascio delle autorizzazioni e concessioni previste dal Codice della Strada rispettivamente necessarie per l’installazione di mezzi pubblicitari e per occupazioni di suolo pubblico. In questi casi, come detto, è richiesto un iter istruttorio da parte dell’ente, che comporterà anche la raccolta, da parte dell’istruttore incaricato della pratica, di pareri di diversi uffici, in ordine a problematiche afferenti </w:t>
      </w:r>
      <w:proofErr w:type="gramStart"/>
      <w:r w:rsidRPr="00B24DE3">
        <w:t>la</w:t>
      </w:r>
      <w:proofErr w:type="gramEnd"/>
      <w:r w:rsidRPr="00B24DE3">
        <w:t xml:space="preserve"> viabilità, la sicurezza, la paesaggistica, il decoro e l’arredo urbano. Procedura che non può certo venire meno adottando l’istituto giuridico del silenzio assenso, così come non può essere superato neppure con la presentazione da parte dell’istante di una SCIA. </w:t>
      </w:r>
    </w:p>
    <w:p w14:paraId="71A1F162" w14:textId="77777777" w:rsidR="00B24DE3" w:rsidRPr="00B24DE3" w:rsidRDefault="00B24DE3" w:rsidP="00B24DE3">
      <w:pPr>
        <w:jc w:val="both"/>
      </w:pPr>
      <w:r w:rsidRPr="00B24DE3">
        <w:t>Il Codice della Strada, all’articolo 27 definisce le regole per richiedere e ottenere le autorizzazioni e le concessioni, in particolare ai commi 4 e 5 prevedono; “</w:t>
      </w:r>
      <w:r w:rsidRPr="00B24DE3">
        <w:rPr>
          <w:i/>
          <w:iCs/>
        </w:rPr>
        <w:t xml:space="preserve">4. I provvedimenti di concessione ed autorizzazione previsti dal presente titolo sono, in ogni caso, accordati senza pregiudizio dei diritti dei terzi e con l'obbligo del titolare di riparare eventuali danni derivanti dalle opere, dalle occupazioni e dai depositi autorizzati.5. I provvedimenti di concessione ed autorizzazione di cui al presente titolo, che sono rinnovabili alla loro scadenza, indicano le condizioni e le prescrizioni di carattere tecnico o amministrativo alle quali esse sono assoggettate, la somma dovuta per l'occupazione o per l'uso concesso, nonché' la durata, che non potrà comunque eccedere gli anni ventinove. L’autorità competente può revocarli o modificarli in qualsiasi momento per sopravvenuti motivi di pubblico interesse o di tutela della sicurezza stradale, senza essere tenuta a corrispondere alcun indennizzo.” </w:t>
      </w:r>
    </w:p>
    <w:p w14:paraId="530B5D87" w14:textId="6CB629FF" w:rsidR="00B24DE3" w:rsidRDefault="00B24DE3" w:rsidP="00B24DE3">
      <w:pPr>
        <w:jc w:val="both"/>
      </w:pPr>
      <w:r w:rsidRPr="00B24DE3">
        <w:t xml:space="preserve">Dalla lettura dell’articolo 27 emerge chiaramente come la norma speciale introdotta nel Titolo Terzo del Codice della Strada, destinato alla </w:t>
      </w:r>
      <w:r w:rsidRPr="00B24DE3">
        <w:rPr>
          <w:i/>
          <w:iCs/>
        </w:rPr>
        <w:t>costruzione e tutela delle strade</w:t>
      </w:r>
      <w:r w:rsidRPr="00B24DE3">
        <w:t xml:space="preserve">, preveda un iter istruttorio, che dovrà concludersi con un provvedimento di rigetto, o di rilascio, dell’autorizzazione/concessione, escludendo definitivamente qualunque altra ipotesi, tra le quali quella dell’istituto giuridico del </w:t>
      </w:r>
      <w:r w:rsidRPr="00B24DE3">
        <w:rPr>
          <w:i/>
          <w:iCs/>
        </w:rPr>
        <w:t xml:space="preserve">silenzio assenso </w:t>
      </w:r>
      <w:r w:rsidRPr="00B24DE3">
        <w:t>e, come detto, di una diversa procedura quale la SCIA.</w:t>
      </w:r>
    </w:p>
    <w:p w14:paraId="13942FF1" w14:textId="77777777" w:rsidR="008A1270" w:rsidRDefault="008A1270" w:rsidP="004D7E07">
      <w:pPr>
        <w:jc w:val="both"/>
      </w:pPr>
    </w:p>
    <w:sectPr w:rsidR="008A12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DCB"/>
    <w:rsid w:val="000E136F"/>
    <w:rsid w:val="002A770D"/>
    <w:rsid w:val="004D7E07"/>
    <w:rsid w:val="008775C9"/>
    <w:rsid w:val="008A1270"/>
    <w:rsid w:val="008E39F0"/>
    <w:rsid w:val="009268FA"/>
    <w:rsid w:val="009E01F6"/>
    <w:rsid w:val="00B24DE3"/>
    <w:rsid w:val="00C45DCB"/>
    <w:rsid w:val="00CE0FCF"/>
    <w:rsid w:val="00E47B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E7F3"/>
  <w15:chartTrackingRefBased/>
  <w15:docId w15:val="{37A13D0A-7F78-487B-9A29-AFDA3D2F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45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45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45DC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45DC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45DC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45DC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45DC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45DC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45DC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45DC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45DC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45DC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45DC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45DC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45DC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45DC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45DC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45DCB"/>
    <w:rPr>
      <w:rFonts w:eastAsiaTheme="majorEastAsia" w:cstheme="majorBidi"/>
      <w:color w:val="272727" w:themeColor="text1" w:themeTint="D8"/>
    </w:rPr>
  </w:style>
  <w:style w:type="paragraph" w:styleId="Titolo">
    <w:name w:val="Title"/>
    <w:basedOn w:val="Normale"/>
    <w:next w:val="Normale"/>
    <w:link w:val="TitoloCarattere"/>
    <w:uiPriority w:val="10"/>
    <w:qFormat/>
    <w:rsid w:val="00C4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45DC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45DC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45DC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45DC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45DCB"/>
    <w:rPr>
      <w:i/>
      <w:iCs/>
      <w:color w:val="404040" w:themeColor="text1" w:themeTint="BF"/>
    </w:rPr>
  </w:style>
  <w:style w:type="paragraph" w:styleId="Paragrafoelenco">
    <w:name w:val="List Paragraph"/>
    <w:basedOn w:val="Normale"/>
    <w:uiPriority w:val="34"/>
    <w:qFormat/>
    <w:rsid w:val="00C45DCB"/>
    <w:pPr>
      <w:ind w:left="720"/>
      <w:contextualSpacing/>
    </w:pPr>
  </w:style>
  <w:style w:type="character" w:styleId="Enfasiintensa">
    <w:name w:val="Intense Emphasis"/>
    <w:basedOn w:val="Carpredefinitoparagrafo"/>
    <w:uiPriority w:val="21"/>
    <w:qFormat/>
    <w:rsid w:val="00C45DCB"/>
    <w:rPr>
      <w:i/>
      <w:iCs/>
      <w:color w:val="2F5496" w:themeColor="accent1" w:themeShade="BF"/>
    </w:rPr>
  </w:style>
  <w:style w:type="paragraph" w:styleId="Citazioneintensa">
    <w:name w:val="Intense Quote"/>
    <w:basedOn w:val="Normale"/>
    <w:next w:val="Normale"/>
    <w:link w:val="CitazioneintensaCarattere"/>
    <w:uiPriority w:val="30"/>
    <w:qFormat/>
    <w:rsid w:val="00C45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45DCB"/>
    <w:rPr>
      <w:i/>
      <w:iCs/>
      <w:color w:val="2F5496" w:themeColor="accent1" w:themeShade="BF"/>
    </w:rPr>
  </w:style>
  <w:style w:type="character" w:styleId="Riferimentointenso">
    <w:name w:val="Intense Reference"/>
    <w:basedOn w:val="Carpredefinitoparagrafo"/>
    <w:uiPriority w:val="32"/>
    <w:qFormat/>
    <w:rsid w:val="00C45DCB"/>
    <w:rPr>
      <w:b/>
      <w:bCs/>
      <w:smallCaps/>
      <w:color w:val="2F5496" w:themeColor="accent1" w:themeShade="BF"/>
      <w:spacing w:val="5"/>
    </w:rPr>
  </w:style>
  <w:style w:type="paragraph" w:styleId="NormaleWeb">
    <w:name w:val="Normal (Web)"/>
    <w:basedOn w:val="Normale"/>
    <w:uiPriority w:val="99"/>
    <w:semiHidden/>
    <w:unhideWhenUsed/>
    <w:rsid w:val="004D7E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1028</Words>
  <Characters>5862</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2025-11-21T08:21:00Z</dcterms:created>
  <dcterms:modified xsi:type="dcterms:W3CDTF">2025-11-21T09:11:00Z</dcterms:modified>
</cp:coreProperties>
</file>