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C5806" w14:textId="77777777" w:rsidR="004B6D0F" w:rsidRPr="00A62563" w:rsidRDefault="004B6D0F" w:rsidP="004B6D0F">
      <w:pPr>
        <w:jc w:val="both"/>
        <w:rPr>
          <w:rFonts w:ascii="Ebrima" w:hAnsi="Ebrima"/>
          <w:b/>
        </w:rPr>
      </w:pPr>
      <w:r w:rsidRPr="00A62563">
        <w:rPr>
          <w:rFonts w:ascii="Ebrima" w:hAnsi="Ebrima"/>
          <w:b/>
        </w:rPr>
        <w:t xml:space="preserve">Il Piano Generale degli Impianti Pubblicitari tra ritardi, opportunità e </w:t>
      </w:r>
      <w:r w:rsidR="00A62563">
        <w:rPr>
          <w:rFonts w:ascii="Ebrima" w:hAnsi="Ebrima"/>
          <w:b/>
        </w:rPr>
        <w:t>contenziosi</w:t>
      </w:r>
    </w:p>
    <w:p w14:paraId="126989B7" w14:textId="77777777" w:rsidR="004B6D0F" w:rsidRPr="00A62563" w:rsidRDefault="004B6D0F" w:rsidP="004B6D0F">
      <w:pPr>
        <w:jc w:val="both"/>
        <w:rPr>
          <w:rFonts w:ascii="Ebrima" w:hAnsi="Ebrima"/>
        </w:rPr>
      </w:pPr>
    </w:p>
    <w:p w14:paraId="5484A3CD" w14:textId="751F1A8F" w:rsidR="00B752A8" w:rsidRPr="004928D5" w:rsidRDefault="00B752A8" w:rsidP="004928D5">
      <w:pPr>
        <w:jc w:val="both"/>
      </w:pPr>
      <w:r w:rsidRPr="004928D5">
        <w:t>Con l’introduzione del Canone Unico Patrimoniale, il Legislatore ha ripreso un tema da sempre spinoso. Quello della dotazione di un Piano Generale degli Impianti Pubblicitari da parte delle Amministrazioni Comunali.</w:t>
      </w:r>
    </w:p>
    <w:p w14:paraId="75D4F969" w14:textId="4DD1424F" w:rsidR="008A6EA2" w:rsidRPr="004928D5" w:rsidRDefault="004B6D0F" w:rsidP="004928D5">
      <w:pPr>
        <w:jc w:val="both"/>
      </w:pPr>
      <w:r w:rsidRPr="004928D5">
        <w:t xml:space="preserve">La lettera c) del comma 821 dell’art. 1 della Legge  160/2019 pone in capo ai Comuni </w:t>
      </w:r>
      <w:r w:rsidR="00B752A8" w:rsidRPr="004928D5">
        <w:t xml:space="preserve">con popolazione </w:t>
      </w:r>
      <w:r w:rsidRPr="004928D5">
        <w:t>superior</w:t>
      </w:r>
      <w:r w:rsidR="00B752A8" w:rsidRPr="004928D5">
        <w:t>e</w:t>
      </w:r>
      <w:r w:rsidRPr="004928D5">
        <w:t xml:space="preserve"> a 20.000 abitanti l’obbligo di dotarsi del Piano Generale Degli Impianti Pubblicitari. I criteri per la</w:t>
      </w:r>
      <w:r w:rsidR="00B752A8" w:rsidRPr="004928D5">
        <w:t xml:space="preserve"> sua</w:t>
      </w:r>
      <w:r w:rsidRPr="004928D5">
        <w:t xml:space="preserve"> redazione, prosegue il legislatore, dovrebbero, quanto meno, essere individuati nell’apposito Regolamento, sempre previsto dal medesimo comma</w:t>
      </w:r>
      <w:r w:rsidR="00B752A8" w:rsidRPr="004928D5">
        <w:t xml:space="preserve"> 821</w:t>
      </w:r>
      <w:r w:rsidRPr="004928D5">
        <w:t>, p</w:t>
      </w:r>
      <w:r w:rsidR="00A62563" w:rsidRPr="004928D5">
        <w:t xml:space="preserve">er </w:t>
      </w:r>
      <w:r w:rsidR="00B752A8" w:rsidRPr="004928D5">
        <w:t>la disciplina regolamentare dell’entrata</w:t>
      </w:r>
      <w:r w:rsidR="00A62563" w:rsidRPr="004928D5">
        <w:t xml:space="preserve">. </w:t>
      </w:r>
    </w:p>
    <w:p w14:paraId="06711960" w14:textId="5441D283" w:rsidR="004B6D0F" w:rsidRPr="00B30F9E" w:rsidRDefault="004B6D0F" w:rsidP="004928D5">
      <w:pPr>
        <w:jc w:val="both"/>
        <w:rPr>
          <w:rFonts w:ascii="Ebrima" w:hAnsi="Ebrima"/>
          <w:i/>
          <w:iCs/>
          <w:u w:val="single"/>
        </w:rPr>
      </w:pPr>
      <w:r w:rsidRPr="004928D5">
        <w:t>Non si tratta di una novità. Già il previgente Decreto Legislativo 15/11/1993 n. 507 prevedeva</w:t>
      </w:r>
      <w:r w:rsidR="00A62563" w:rsidRPr="004928D5">
        <w:t>,</w:t>
      </w:r>
      <w:r w:rsidRPr="004928D5">
        <w:t xml:space="preserve"> al comma 3 dell’articolo</w:t>
      </w:r>
      <w:r w:rsidR="00A62563" w:rsidRPr="004928D5">
        <w:t xml:space="preserve"> 3</w:t>
      </w:r>
      <w:r w:rsidRPr="004928D5">
        <w:t>, identico adempimento (questa volta esteso a tutto gli Enti a prescindere dalla popolazione). Sempre poi all’abrogato comma 8 dell’art.36 del medesimo Decreto</w:t>
      </w:r>
      <w:r w:rsidR="00A62563" w:rsidRPr="004928D5">
        <w:t>,</w:t>
      </w:r>
      <w:r w:rsidRPr="004928D5">
        <w:t xml:space="preserve"> si rammentava che i Comuni non avrebbero potuto dare corso alle istanze per nuovi impianti pubblicitari in assenza </w:t>
      </w:r>
      <w:r w:rsidR="00B752A8" w:rsidRPr="004928D5">
        <w:t>dell’adozione</w:t>
      </w:r>
      <w:r w:rsidRPr="004928D5">
        <w:t xml:space="preserve"> del previsto Piano</w:t>
      </w:r>
      <w:r w:rsidR="00B752A8" w:rsidRPr="004928D5">
        <w:t>. Il comma prevedeva</w:t>
      </w:r>
      <w:r w:rsidR="00B752A8">
        <w:rPr>
          <w:rFonts w:ascii="Ebrima" w:hAnsi="Ebrima"/>
        </w:rPr>
        <w:t>: “</w:t>
      </w:r>
      <w:r w:rsidR="00B752A8" w:rsidRPr="00B30F9E">
        <w:rPr>
          <w:rFonts w:ascii="Ebrima" w:hAnsi="Ebrima"/>
          <w:i/>
          <w:iCs/>
        </w:rPr>
        <w:t xml:space="preserve">Il comune non da' corso alle istanze per l'installazione di impianti pubblicitari, ove i relativi provvedimenti non siano gia' stati adottati alla data di entrata in vigore del presente decreto, </w:t>
      </w:r>
      <w:r w:rsidR="00B752A8" w:rsidRPr="00B30F9E">
        <w:rPr>
          <w:rFonts w:ascii="Ebrima" w:hAnsi="Ebrima"/>
          <w:i/>
          <w:iCs/>
          <w:u w:val="single"/>
        </w:rPr>
        <w:t xml:space="preserve">ne' </w:t>
      </w:r>
      <w:r w:rsidR="00B30F9E" w:rsidRPr="00B30F9E">
        <w:rPr>
          <w:rFonts w:ascii="Ebrima" w:hAnsi="Ebrima"/>
          <w:i/>
          <w:iCs/>
          <w:u w:val="single"/>
        </w:rPr>
        <w:t>può</w:t>
      </w:r>
      <w:r w:rsidR="00B752A8" w:rsidRPr="00B30F9E">
        <w:rPr>
          <w:rFonts w:ascii="Ebrima" w:hAnsi="Ebrima"/>
          <w:i/>
          <w:iCs/>
          <w:u w:val="single"/>
        </w:rPr>
        <w:t xml:space="preserve"> autorizzare l'installazione di nuovi impianti fino all'approvazione del regolamento comunale e del piano generale previsti dall'art. 3.</w:t>
      </w:r>
      <w:r w:rsidR="00B30F9E" w:rsidRPr="00B30F9E">
        <w:rPr>
          <w:rFonts w:ascii="Ebrima" w:hAnsi="Ebrima"/>
          <w:i/>
          <w:iCs/>
          <w:u w:val="single"/>
        </w:rPr>
        <w:t>”</w:t>
      </w:r>
    </w:p>
    <w:p w14:paraId="3BE71E77" w14:textId="5D47DD60" w:rsidR="004B6D0F" w:rsidRPr="004928D5" w:rsidRDefault="00B30F9E" w:rsidP="004928D5">
      <w:pPr>
        <w:jc w:val="both"/>
      </w:pPr>
      <w:r w:rsidRPr="004928D5">
        <w:t>Ma quante volte è stata disattesa questa disposizione? Sono</w:t>
      </w:r>
      <w:r w:rsidR="00630731" w:rsidRPr="004928D5">
        <w:t xml:space="preserve"> stati</w:t>
      </w:r>
      <w:r w:rsidRPr="004928D5">
        <w:t xml:space="preserve"> davvero pochi i Comuni che </w:t>
      </w:r>
      <w:r w:rsidR="00630731" w:rsidRPr="004928D5">
        <w:t>hanno</w:t>
      </w:r>
      <w:r w:rsidRPr="004928D5">
        <w:t xml:space="preserve"> adempiuto all’obbligo di redigere il Piano degli impianti</w:t>
      </w:r>
      <w:r w:rsidR="00630731" w:rsidRPr="004928D5">
        <w:t xml:space="preserve"> come richiesto nel D.Lgs 507/93</w:t>
      </w:r>
      <w:r w:rsidRPr="004928D5">
        <w:t xml:space="preserve">, molti </w:t>
      </w:r>
      <w:r w:rsidR="00630731" w:rsidRPr="004928D5">
        <w:t>avevano continuato a gestire</w:t>
      </w:r>
      <w:r w:rsidRPr="004928D5">
        <w:t xml:space="preserve"> il rilascio delle autorizzazioni e il pagamento dell’Imposta sulla Pubblicità, senza attenersi a questa disposizione, che evidentemente creava problemi</w:t>
      </w:r>
      <w:r w:rsidR="00630731" w:rsidRPr="004928D5">
        <w:t xml:space="preserve"> di redazione</w:t>
      </w:r>
      <w:r w:rsidRPr="004928D5">
        <w:t xml:space="preserve"> o semplicemente non la si riteneva vincolante per la Pubblica Amministrazione. </w:t>
      </w:r>
    </w:p>
    <w:p w14:paraId="2C88839D" w14:textId="5C63EEBB" w:rsidR="000A6940" w:rsidRPr="004928D5" w:rsidRDefault="004B6D0F" w:rsidP="004928D5">
      <w:pPr>
        <w:jc w:val="both"/>
      </w:pPr>
      <w:r w:rsidRPr="004928D5">
        <w:t>A distanza di quasi trent’anni dall’entrata in vigore di tali disposizioni, oggi ricalibrate con la nuova formulazione</w:t>
      </w:r>
      <w:r w:rsidR="00B30F9E" w:rsidRPr="004928D5">
        <w:t xml:space="preserve"> del comma 821</w:t>
      </w:r>
      <w:r w:rsidR="000A6940" w:rsidRPr="004928D5">
        <w:t xml:space="preserve">, in realtà </w:t>
      </w:r>
      <w:r w:rsidR="006C3F72" w:rsidRPr="004928D5">
        <w:t xml:space="preserve">continuano ad essere </w:t>
      </w:r>
      <w:r w:rsidR="000A6940" w:rsidRPr="004928D5">
        <w:t xml:space="preserve">molte le Amministrazioni Comunali, anche di rilevanti dimensioni, che </w:t>
      </w:r>
      <w:r w:rsidR="006C3F72" w:rsidRPr="004928D5">
        <w:t xml:space="preserve">non </w:t>
      </w:r>
      <w:r w:rsidR="000A6940" w:rsidRPr="004928D5">
        <w:t>hanno dato regolare corso alla predisposizione ed approvazione del suddetto PGIP</w:t>
      </w:r>
      <w:r w:rsidR="004928D5">
        <w:t xml:space="preserve"> – Piano generale degli Impianti Pubblicitari</w:t>
      </w:r>
      <w:r w:rsidR="000A6940" w:rsidRPr="004928D5">
        <w:t xml:space="preserve">. </w:t>
      </w:r>
    </w:p>
    <w:p w14:paraId="00D7E156" w14:textId="40ED3E48" w:rsidR="006C3F72" w:rsidRPr="004928D5" w:rsidRDefault="000A6940" w:rsidP="004928D5">
      <w:pPr>
        <w:jc w:val="both"/>
      </w:pPr>
      <w:r w:rsidRPr="004928D5">
        <w:t xml:space="preserve">In tale scenario e contesto di sostanziale inerzia da parte delle PA si </w:t>
      </w:r>
      <w:r w:rsidR="00A62563" w:rsidRPr="004928D5">
        <w:t>s</w:t>
      </w:r>
      <w:r w:rsidRPr="004928D5">
        <w:t>on</w:t>
      </w:r>
      <w:r w:rsidR="00A62563" w:rsidRPr="004928D5">
        <w:t>o</w:t>
      </w:r>
      <w:r w:rsidRPr="004928D5">
        <w:t xml:space="preserve"> innescati sovente due contrapposti approcci: uno di sostanziale chiusura con diniego delle istanze pervenute adducendo la motivazione, appunto, dell’assenza dell’apposito strumento regolatorio</w:t>
      </w:r>
      <w:r w:rsidR="006C3F72" w:rsidRPr="004928D5">
        <w:t xml:space="preserve">; linea avvalorata </w:t>
      </w:r>
      <w:r w:rsidRPr="004928D5">
        <w:t>sulla base della pronuncia</w:t>
      </w:r>
      <w:r w:rsidR="006C3F72" w:rsidRPr="004928D5">
        <w:t xml:space="preserve"> della </w:t>
      </w:r>
      <w:r w:rsidR="00CA596A" w:rsidRPr="004928D5">
        <w:t xml:space="preserve">Corte </w:t>
      </w:r>
      <w:r w:rsidR="00CA596A">
        <w:t>C</w:t>
      </w:r>
      <w:r w:rsidR="00CA596A" w:rsidRPr="004928D5">
        <w:t>ostituzionale</w:t>
      </w:r>
      <w:r w:rsidR="006C3F72" w:rsidRPr="004928D5">
        <w:t xml:space="preserve"> con la sentenza </w:t>
      </w:r>
      <w:r w:rsidR="004928D5" w:rsidRPr="004928D5">
        <w:t>numero 355</w:t>
      </w:r>
      <w:r w:rsidR="006C3F72" w:rsidRPr="004928D5">
        <w:t xml:space="preserve"> del 17/7/2002.</w:t>
      </w:r>
      <w:r w:rsidRPr="004928D5">
        <w:t xml:space="preserve"> </w:t>
      </w:r>
      <w:r w:rsidR="006C3F72" w:rsidRPr="004928D5">
        <w:t>L’altro approccio</w:t>
      </w:r>
      <w:r w:rsidR="004928D5">
        <w:t>, contrapposto al primo</w:t>
      </w:r>
      <w:r w:rsidR="006C3F72" w:rsidRPr="004928D5">
        <w:t xml:space="preserve"> invece è stato </w:t>
      </w:r>
      <w:r w:rsidRPr="004928D5">
        <w:t xml:space="preserve">di accoglimento quasi indiscriminato delle istanze con inevitabile proliferazione di comunicazioni pubblicitarie spesso non coordinate e di complessa gestione. </w:t>
      </w:r>
      <w:r w:rsidR="004928D5">
        <w:t>Due atteggiamenti di segno opposto, uno di totale chiusura e uno di totale apertura, entrambi scorretti.</w:t>
      </w:r>
    </w:p>
    <w:p w14:paraId="1E23EB77" w14:textId="77777777" w:rsidR="004928D5" w:rsidRDefault="004928D5" w:rsidP="004928D5">
      <w:pPr>
        <w:jc w:val="both"/>
      </w:pPr>
      <w:r>
        <w:t>Infatti</w:t>
      </w:r>
      <w:r w:rsidR="000A6940" w:rsidRPr="004928D5">
        <w:t xml:space="preserve">, in entrambi i </w:t>
      </w:r>
      <w:r w:rsidR="006C3F72" w:rsidRPr="004928D5">
        <w:t>casi, si</w:t>
      </w:r>
      <w:r w:rsidR="000A6940" w:rsidRPr="004928D5">
        <w:t xml:space="preserve"> è scatenato </w:t>
      </w:r>
      <w:r w:rsidR="00DF48AA" w:rsidRPr="004928D5">
        <w:t>un vastissimo</w:t>
      </w:r>
      <w:r w:rsidR="000A6940" w:rsidRPr="004928D5">
        <w:t xml:space="preserve"> contenzioso che, sia sul fronte amministrativo che su quello civile, ha visto non di rado soccombenti i Comuni</w:t>
      </w:r>
      <w:r w:rsidR="006C3F72" w:rsidRPr="004928D5">
        <w:t xml:space="preserve">. </w:t>
      </w:r>
    </w:p>
    <w:p w14:paraId="1EAF35B6" w14:textId="7B695D57" w:rsidR="004B6D0F" w:rsidRPr="004928D5" w:rsidRDefault="006C3F72" w:rsidP="004928D5">
      <w:pPr>
        <w:jc w:val="both"/>
      </w:pPr>
      <w:r w:rsidRPr="004928D5">
        <w:t xml:space="preserve">A questo proposito interessante la </w:t>
      </w:r>
      <w:r w:rsidR="004928D5">
        <w:t xml:space="preserve">recente </w:t>
      </w:r>
      <w:r w:rsidRPr="004928D5">
        <w:t xml:space="preserve">sentenza 1162 del 16/8/2022 del Tar Bari – Sez. III che ha valutato l’illegittimità di un rinvio sine die da parte del </w:t>
      </w:r>
      <w:r w:rsidR="00DF48AA" w:rsidRPr="004928D5">
        <w:t>Comune in</w:t>
      </w:r>
      <w:r w:rsidRPr="004928D5">
        <w:t xml:space="preserve"> ragione dell’elaborazione in corso di un piano generale degli impianti, tenuto conto della prevalente giurisprudenza secondo cui i ritardi dell’Amministrazione non possono ripercuotersi negativamente sulla libertà di iniziativa economica privata. </w:t>
      </w:r>
      <w:r w:rsidR="00BF2863" w:rsidRPr="004928D5">
        <w:t xml:space="preserve">Stessa linea tenuta dal </w:t>
      </w:r>
      <w:r w:rsidR="00B73A7F" w:rsidRPr="004928D5">
        <w:t>CGARS</w:t>
      </w:r>
      <w:r w:rsidR="009B588A" w:rsidRPr="004928D5">
        <w:t xml:space="preserve"> - </w:t>
      </w:r>
      <w:r w:rsidR="00D5357B" w:rsidRPr="004928D5">
        <w:t xml:space="preserve">Consiglio </w:t>
      </w:r>
      <w:r w:rsidR="00807E9C" w:rsidRPr="004928D5">
        <w:t>d</w:t>
      </w:r>
      <w:r w:rsidR="00D5357B" w:rsidRPr="004928D5">
        <w:t xml:space="preserve">i Giustizia Amministrativa </w:t>
      </w:r>
      <w:r w:rsidR="00423B87" w:rsidRPr="004928D5">
        <w:t>p</w:t>
      </w:r>
      <w:r w:rsidR="00D5357B" w:rsidRPr="004928D5">
        <w:t xml:space="preserve">er </w:t>
      </w:r>
      <w:r w:rsidR="00423B87" w:rsidRPr="004928D5">
        <w:t>l</w:t>
      </w:r>
      <w:r w:rsidR="00D5357B" w:rsidRPr="004928D5">
        <w:t xml:space="preserve">a Regione Siciliana </w:t>
      </w:r>
      <w:r w:rsidR="00E86EA2" w:rsidRPr="004928D5">
        <w:t>con la s</w:t>
      </w:r>
      <w:r w:rsidR="00B73A7F" w:rsidRPr="004928D5">
        <w:t>entenza 9030 del 16/10/2020</w:t>
      </w:r>
      <w:r w:rsidR="00DF48AA" w:rsidRPr="004928D5">
        <w:t xml:space="preserve"> ha rilevato come l’Amministrazione ha in modo ingiustificato prima ritardato di esitare le legittime richieste dell’appellante e poi, altrettanto illegittimamente, ha denegato il diritto della stessa appellante ad ottenere la volturazione a suo nome degli impianti pubblicitari acquistati da un fallimento. Il </w:t>
      </w:r>
      <w:r w:rsidR="00DF48AA" w:rsidRPr="004928D5">
        <w:lastRenderedPageBreak/>
        <w:t>CGARS non ha rinvenuto elementi tali da reputare sussistente la scusabilità della condotta della PA. Parimenti sussistenti sono la colpa e il nesso di causalità che collega la condotta della PA al danno patito dalla appellante in ragione della mancata attivazione degli impianti.</w:t>
      </w:r>
    </w:p>
    <w:p w14:paraId="55D26908" w14:textId="62E39D28" w:rsidR="0078094B" w:rsidRPr="004928D5" w:rsidRDefault="0078094B" w:rsidP="004928D5">
      <w:pPr>
        <w:jc w:val="both"/>
      </w:pPr>
      <w:r w:rsidRPr="004928D5">
        <w:t>Eppure per la giustizia amministrativa e, segnatamente, per il Consiglio di Stato</w:t>
      </w:r>
      <w:r w:rsidR="00A62563" w:rsidRPr="004928D5">
        <w:t>,</w:t>
      </w:r>
      <w:r w:rsidRPr="004928D5">
        <w:t xml:space="preserve"> il PGIP, al pari del Piano di Massima Occupabilità, ha natura pianificatoria di carattere generale e si tratta di uno strumento urbanistico obbligatorio</w:t>
      </w:r>
      <w:r w:rsidR="00A62563" w:rsidRPr="004928D5">
        <w:t xml:space="preserve"> che dovrebbe porsi l’obiettivo, minimo, di contemperare i diversi interessi in campo</w:t>
      </w:r>
      <w:r w:rsidR="00DF48AA" w:rsidRPr="004928D5">
        <w:t xml:space="preserve">, </w:t>
      </w:r>
      <w:r w:rsidR="00A62563" w:rsidRPr="004928D5">
        <w:t xml:space="preserve">da un lato quello di consentire la comunicazione pubblicitaria e promozionale a garanzia delle libertà economiche e, dall’altro, quello di evitare uno sviluppo disarmonico ed incontrollato della stessa nella tutela di bellezze artistiche, </w:t>
      </w:r>
      <w:r w:rsidR="00DF48AA" w:rsidRPr="004928D5">
        <w:t>architettoniche</w:t>
      </w:r>
      <w:r w:rsidR="00A62563" w:rsidRPr="004928D5">
        <w:t xml:space="preserve"> e di decoro urbano.</w:t>
      </w:r>
    </w:p>
    <w:p w14:paraId="0414363F" w14:textId="71E427D3" w:rsidR="0078094B" w:rsidRDefault="0078094B" w:rsidP="004928D5">
      <w:pPr>
        <w:jc w:val="both"/>
      </w:pPr>
      <w:r w:rsidRPr="004928D5">
        <w:t xml:space="preserve">Perché dunque </w:t>
      </w:r>
      <w:r w:rsidR="002A7BC8" w:rsidRPr="004928D5">
        <w:t>molti Enti</w:t>
      </w:r>
      <w:r w:rsidRPr="004928D5">
        <w:t xml:space="preserve"> non provvedono? Scarsa sensibilità? Eccessiva complessità? Impossibilità di disporre dei dati e delle informazioni?</w:t>
      </w:r>
      <w:r w:rsidR="00A62563" w:rsidRPr="004928D5">
        <w:t xml:space="preserve"> Le ragioni sono senz’altro molteplici e caso per caso andrebbero approfondite ma, sta di fatto, che</w:t>
      </w:r>
      <w:r w:rsidR="00F03452" w:rsidRPr="004928D5">
        <w:t>, come visto,</w:t>
      </w:r>
      <w:r w:rsidR="00A62563" w:rsidRPr="004928D5">
        <w:t xml:space="preserve"> la mancata adozione del PGIP </w:t>
      </w:r>
      <w:r w:rsidR="00F03452" w:rsidRPr="004928D5">
        <w:t xml:space="preserve">può </w:t>
      </w:r>
      <w:r w:rsidR="00A62563" w:rsidRPr="004928D5">
        <w:t>risulta</w:t>
      </w:r>
      <w:r w:rsidR="00F03452" w:rsidRPr="004928D5">
        <w:t>re</w:t>
      </w:r>
      <w:r w:rsidR="00A62563" w:rsidRPr="004928D5">
        <w:t xml:space="preserve"> fonte di </w:t>
      </w:r>
      <w:r w:rsidR="00F03452" w:rsidRPr="004928D5">
        <w:t>aspro contenzioso.</w:t>
      </w:r>
    </w:p>
    <w:p w14:paraId="58D8CECC" w14:textId="56D783A7" w:rsidR="002A7BC8" w:rsidRDefault="00BA79D4" w:rsidP="00FB2E89">
      <w:pPr>
        <w:autoSpaceDE w:val="0"/>
        <w:autoSpaceDN w:val="0"/>
        <w:adjustRightInd w:val="0"/>
        <w:spacing w:after="0" w:line="240" w:lineRule="auto"/>
        <w:jc w:val="both"/>
      </w:pPr>
      <w:r>
        <w:t>Con il successivo approfondimento</w:t>
      </w:r>
      <w:r w:rsidR="00FB2E89">
        <w:t xml:space="preserve"> “</w:t>
      </w:r>
      <w:r w:rsidR="00FB2E89">
        <w:rPr>
          <w:rFonts w:ascii="Times New Roman" w:hAnsi="Times New Roman" w:cs="Times New Roman"/>
          <w:b/>
          <w:bCs/>
        </w:rPr>
        <w:t>Come organizzare un Piano generale degli Impianti Pubblicitari e gestirne gli effetti sul territorio.</w:t>
      </w:r>
      <w:r w:rsidR="00FB2E89">
        <w:rPr>
          <w:rFonts w:ascii="Times New Roman" w:hAnsi="Times New Roman" w:cs="Times New Roman"/>
          <w:b/>
          <w:bCs/>
        </w:rPr>
        <w:t xml:space="preserve">” </w:t>
      </w:r>
      <w:r>
        <w:t xml:space="preserve"> </w:t>
      </w:r>
      <w:r w:rsidR="00FB2E89">
        <w:t>offriamo un punto di partenza per attuare il progetto di redazione del PGIP.</w:t>
      </w:r>
    </w:p>
    <w:p w14:paraId="5AC109F9" w14:textId="77777777" w:rsidR="00FB2E89" w:rsidRDefault="00FB2E89" w:rsidP="00FB2E89">
      <w:pPr>
        <w:autoSpaceDE w:val="0"/>
        <w:autoSpaceDN w:val="0"/>
        <w:adjustRightInd w:val="0"/>
        <w:spacing w:after="0" w:line="240" w:lineRule="auto"/>
        <w:jc w:val="both"/>
      </w:pPr>
    </w:p>
    <w:p w14:paraId="4A21912D" w14:textId="5EB60FCD" w:rsidR="00BA79D4" w:rsidRDefault="00BA79D4" w:rsidP="004928D5">
      <w:pPr>
        <w:jc w:val="both"/>
      </w:pPr>
      <w:r>
        <w:t>Allegati:</w:t>
      </w:r>
    </w:p>
    <w:p w14:paraId="72A869C1" w14:textId="305F7F33" w:rsidR="00BA79D4" w:rsidRDefault="00BA79D4" w:rsidP="004928D5">
      <w:pPr>
        <w:jc w:val="both"/>
      </w:pPr>
      <w:r w:rsidRPr="004928D5">
        <w:t>sentenza numero 355 del 17/7/2002</w:t>
      </w:r>
      <w:r>
        <w:t xml:space="preserve"> </w:t>
      </w:r>
      <w:r w:rsidRPr="004928D5">
        <w:t>della Corte Costituzionale</w:t>
      </w:r>
    </w:p>
    <w:p w14:paraId="7B401019" w14:textId="3D448387" w:rsidR="00BA79D4" w:rsidRDefault="00BA79D4" w:rsidP="004928D5">
      <w:pPr>
        <w:jc w:val="both"/>
      </w:pPr>
      <w:r w:rsidRPr="004928D5">
        <w:t>sentenza 9030 del 16/10/2020</w:t>
      </w:r>
      <w:r>
        <w:t xml:space="preserve"> </w:t>
      </w:r>
      <w:r w:rsidRPr="004928D5">
        <w:t>d</w:t>
      </w:r>
      <w:r>
        <w:t>e</w:t>
      </w:r>
      <w:r w:rsidRPr="004928D5">
        <w:t>l CGARS - Consiglio di Giustizia Amministrativa per la Regione Siciliana</w:t>
      </w:r>
    </w:p>
    <w:p w14:paraId="6A6D9A40" w14:textId="77777777" w:rsidR="00BA79D4" w:rsidRPr="004928D5" w:rsidRDefault="00BA79D4" w:rsidP="004928D5">
      <w:pPr>
        <w:jc w:val="both"/>
      </w:pPr>
    </w:p>
    <w:p w14:paraId="1671B64D" w14:textId="77777777" w:rsidR="0078094B" w:rsidRPr="00A62563" w:rsidRDefault="0078094B" w:rsidP="004B6D0F">
      <w:pPr>
        <w:spacing w:line="360" w:lineRule="auto"/>
        <w:jc w:val="both"/>
        <w:rPr>
          <w:rFonts w:ascii="Ebrima" w:hAnsi="Ebrima"/>
        </w:rPr>
      </w:pPr>
    </w:p>
    <w:p w14:paraId="236B7048" w14:textId="77777777" w:rsidR="000A6940" w:rsidRPr="00A62563" w:rsidRDefault="000A6940" w:rsidP="004B6D0F">
      <w:pPr>
        <w:spacing w:line="360" w:lineRule="auto"/>
        <w:jc w:val="both"/>
        <w:rPr>
          <w:rFonts w:ascii="Ebrima" w:hAnsi="Ebrima"/>
        </w:rPr>
      </w:pPr>
    </w:p>
    <w:p w14:paraId="6BBF387F" w14:textId="77777777" w:rsidR="000A6940" w:rsidRPr="00A62563" w:rsidRDefault="000A6940" w:rsidP="004B6D0F">
      <w:pPr>
        <w:spacing w:line="360" w:lineRule="auto"/>
        <w:jc w:val="both"/>
        <w:rPr>
          <w:rFonts w:ascii="Ebrima" w:hAnsi="Ebrima"/>
        </w:rPr>
      </w:pPr>
    </w:p>
    <w:sectPr w:rsidR="000A6940" w:rsidRPr="00A6256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77BFC"/>
    <w:multiLevelType w:val="hybridMultilevel"/>
    <w:tmpl w:val="81E013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56DF4"/>
    <w:multiLevelType w:val="hybridMultilevel"/>
    <w:tmpl w:val="108644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4F6D8D"/>
    <w:multiLevelType w:val="hybridMultilevel"/>
    <w:tmpl w:val="1FC649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348819">
    <w:abstractNumId w:val="2"/>
  </w:num>
  <w:num w:numId="2" w16cid:durableId="1845390875">
    <w:abstractNumId w:val="0"/>
  </w:num>
  <w:num w:numId="3" w16cid:durableId="227110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D0F"/>
    <w:rsid w:val="000645C4"/>
    <w:rsid w:val="000A6940"/>
    <w:rsid w:val="00161D31"/>
    <w:rsid w:val="002A7BC8"/>
    <w:rsid w:val="00362886"/>
    <w:rsid w:val="00423B87"/>
    <w:rsid w:val="004928D5"/>
    <w:rsid w:val="004B6D0F"/>
    <w:rsid w:val="00630731"/>
    <w:rsid w:val="006C3F72"/>
    <w:rsid w:val="0078094B"/>
    <w:rsid w:val="00807E9C"/>
    <w:rsid w:val="008A6EA2"/>
    <w:rsid w:val="009B588A"/>
    <w:rsid w:val="00A62563"/>
    <w:rsid w:val="00AC629D"/>
    <w:rsid w:val="00B30F9E"/>
    <w:rsid w:val="00B73A7F"/>
    <w:rsid w:val="00B752A8"/>
    <w:rsid w:val="00BA79D4"/>
    <w:rsid w:val="00BF2863"/>
    <w:rsid w:val="00CA596A"/>
    <w:rsid w:val="00D5357B"/>
    <w:rsid w:val="00DF48AA"/>
    <w:rsid w:val="00E86EA2"/>
    <w:rsid w:val="00F03452"/>
    <w:rsid w:val="00FB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FF54A"/>
  <w15:chartTrackingRefBased/>
  <w15:docId w15:val="{E2F17F53-C5BA-4532-8250-30B0F0C15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0A6940"/>
    <w:rPr>
      <w:color w:val="0000FF"/>
      <w:u w:val="single"/>
    </w:rPr>
  </w:style>
  <w:style w:type="paragraph" w:styleId="Paragrafoelenco">
    <w:name w:val="List Paragraph"/>
    <w:basedOn w:val="Normale"/>
    <w:uiPriority w:val="34"/>
    <w:qFormat/>
    <w:rsid w:val="0078094B"/>
    <w:pPr>
      <w:ind w:left="720"/>
      <w:contextualSpacing/>
    </w:pPr>
  </w:style>
  <w:style w:type="character" w:styleId="Collegamentovisitato">
    <w:name w:val="FollowedHyperlink"/>
    <w:basedOn w:val="Carpredefinitoparagrafo"/>
    <w:uiPriority w:val="99"/>
    <w:semiHidden/>
    <w:unhideWhenUsed/>
    <w:rsid w:val="00A6256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847</Words>
  <Characters>4832</Characters>
  <Application>Microsoft Office Word</Application>
  <DocSecurity>0</DocSecurity>
  <Lines>40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Ciardi - ABACO S.p.A.</dc:creator>
  <cp:keywords/>
  <dc:description/>
  <cp:lastModifiedBy>Merciari</cp:lastModifiedBy>
  <cp:revision>8</cp:revision>
  <dcterms:created xsi:type="dcterms:W3CDTF">2022-10-24T13:53:00Z</dcterms:created>
  <dcterms:modified xsi:type="dcterms:W3CDTF">2022-10-28T09:32:00Z</dcterms:modified>
</cp:coreProperties>
</file>