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F9492" w14:textId="471E35E8" w:rsidR="00713E25" w:rsidRPr="009E4C50" w:rsidRDefault="00275737">
      <w:pPr>
        <w:rPr>
          <w:b/>
          <w:bCs/>
        </w:rPr>
      </w:pPr>
      <w:r w:rsidRPr="00713E25">
        <w:rPr>
          <w:b/>
          <w:bCs/>
        </w:rPr>
        <w:t xml:space="preserve">Titolo: </w:t>
      </w:r>
      <w:r w:rsidR="00232E90">
        <w:rPr>
          <w:b/>
          <w:bCs/>
        </w:rPr>
        <w:t>I</w:t>
      </w:r>
      <w:r w:rsidR="007252FC">
        <w:rPr>
          <w:b/>
          <w:bCs/>
        </w:rPr>
        <w:t>l canone per i servizi di rete in autoliquidazione</w:t>
      </w:r>
      <w:r w:rsidR="00F55EFA">
        <w:rPr>
          <w:b/>
          <w:bCs/>
        </w:rPr>
        <w:t>. Pagamento in unica soluzione attraverso la piattaforma PagoPA</w:t>
      </w:r>
    </w:p>
    <w:p w14:paraId="3106D267" w14:textId="72E6EB88" w:rsidR="00275737" w:rsidRDefault="00275737">
      <w:r>
        <w:t>Di Alessandro Merciari</w:t>
      </w:r>
    </w:p>
    <w:p w14:paraId="7067B54D" w14:textId="531ECBDC" w:rsidR="00E0267E" w:rsidRDefault="007252FC" w:rsidP="00275737">
      <w:pPr>
        <w:jc w:val="both"/>
      </w:pPr>
      <w:r>
        <w:t>Con l’approssimarsi della scadenza del 30 A</w:t>
      </w:r>
      <w:r w:rsidR="00232E90">
        <w:t>prile</w:t>
      </w:r>
      <w:r>
        <w:t xml:space="preserve">, torna di attualità il </w:t>
      </w:r>
      <w:r w:rsidR="00F55EFA">
        <w:t xml:space="preserve">tema del pagamento del Canone per i servizi di rete da parte delle corporate </w:t>
      </w:r>
      <w:r>
        <w:t xml:space="preserve">che erogano i servizi pubblici e </w:t>
      </w:r>
      <w:r w:rsidR="00F55EFA">
        <w:t>delle</w:t>
      </w:r>
      <w:r>
        <w:t xml:space="preserve"> </w:t>
      </w:r>
      <w:r w:rsidR="00F55EFA">
        <w:t xml:space="preserve">aziende </w:t>
      </w:r>
      <w:r w:rsidR="00F55EFA">
        <w:t xml:space="preserve">che svolgono </w:t>
      </w:r>
      <w:r>
        <w:t xml:space="preserve">attività strumentale all’erogazione. </w:t>
      </w:r>
    </w:p>
    <w:p w14:paraId="0B31A003" w14:textId="7D55F438" w:rsidR="009B31CD" w:rsidRDefault="009B31CD" w:rsidP="009B31CD">
      <w:pPr>
        <w:jc w:val="both"/>
      </w:pPr>
      <w:r>
        <w:t>Nel quinto anno di gestione del</w:t>
      </w:r>
      <w:r w:rsidR="00F55EFA">
        <w:t>lo speciale</w:t>
      </w:r>
      <w:r>
        <w:t xml:space="preserve"> Canone all’interno della disciplina CUP, i Comuni e le Province attendono </w:t>
      </w:r>
      <w:r w:rsidR="00F55EFA">
        <w:t xml:space="preserve">i </w:t>
      </w:r>
      <w:r>
        <w:t xml:space="preserve">versamenti </w:t>
      </w:r>
      <w:r w:rsidR="00F55EFA">
        <w:t>che saranno in queste settimane effettuati in</w:t>
      </w:r>
      <w:r>
        <w:t xml:space="preserve"> autoliquidazione per </w:t>
      </w:r>
      <w:r w:rsidR="00943510">
        <w:t xml:space="preserve">i 5 </w:t>
      </w:r>
      <w:r w:rsidR="00123DCD">
        <w:t>principali servizi</w:t>
      </w:r>
      <w:r w:rsidR="009E4C50">
        <w:t xml:space="preserve"> </w:t>
      </w:r>
      <w:r w:rsidR="00943510">
        <w:t>distribuiti</w:t>
      </w:r>
      <w:r w:rsidR="009E4C50">
        <w:t xml:space="preserve"> </w:t>
      </w:r>
      <w:r w:rsidR="00E80E17">
        <w:t>nel</w:t>
      </w:r>
      <w:r w:rsidR="009E4C50">
        <w:t xml:space="preserve">le </w:t>
      </w:r>
      <w:r w:rsidR="00930F5B">
        <w:t>abitazioni</w:t>
      </w:r>
      <w:r w:rsidR="009E4C50">
        <w:t xml:space="preserve"> e </w:t>
      </w:r>
      <w:r w:rsidR="00E80E17">
        <w:t>nel</w:t>
      </w:r>
      <w:r w:rsidR="009E4C50">
        <w:t>le aziende del proprio territorio</w:t>
      </w:r>
      <w:r w:rsidR="00F55EFA">
        <w:t>, e degli altri servizi secondari che troviamo nelle singole realtà territoriali del nostro Paese</w:t>
      </w:r>
      <w:r>
        <w:t xml:space="preserve">. </w:t>
      </w:r>
    </w:p>
    <w:p w14:paraId="5B9FCC41" w14:textId="3294908A" w:rsidR="00943510" w:rsidRDefault="009B31CD" w:rsidP="009B31CD">
      <w:pPr>
        <w:jc w:val="both"/>
      </w:pPr>
      <w:r>
        <w:t>Un gettito complessivo</w:t>
      </w:r>
      <w:r w:rsidR="00F55EFA">
        <w:t xml:space="preserve"> atteso dagli Enti</w:t>
      </w:r>
      <w:r>
        <w:t xml:space="preserve"> di oltre 250 milioni di Euro </w:t>
      </w:r>
      <w:r w:rsidR="00F55EFA">
        <w:t xml:space="preserve">calcolato sulle </w:t>
      </w:r>
      <w:r w:rsidR="00E81090">
        <w:t>37</w:t>
      </w:r>
      <w:r w:rsidR="00943510">
        <w:t xml:space="preserve"> milioni di utenze attive per l’energia elettrica, 2</w:t>
      </w:r>
      <w:r w:rsidR="00E81090">
        <w:t>0</w:t>
      </w:r>
      <w:r w:rsidR="00943510">
        <w:t xml:space="preserve"> milioni </w:t>
      </w:r>
      <w:r w:rsidR="00F55EFA">
        <w:t>per il</w:t>
      </w:r>
      <w:r w:rsidR="00E81090">
        <w:t xml:space="preserve"> </w:t>
      </w:r>
      <w:r w:rsidR="00943510">
        <w:t xml:space="preserve">Gas, 30 milioni di utenze per Acqua potabile e Fognatura, </w:t>
      </w:r>
      <w:r>
        <w:t>e</w:t>
      </w:r>
      <w:r w:rsidR="00943510">
        <w:t xml:space="preserve"> 20 milioni </w:t>
      </w:r>
      <w:r w:rsidR="00F55EFA">
        <w:t xml:space="preserve">per le </w:t>
      </w:r>
      <w:r w:rsidR="00943510">
        <w:t>utenze telefoniche di rete fissa.</w:t>
      </w:r>
    </w:p>
    <w:p w14:paraId="4A86EDF3" w14:textId="4F6D5E40" w:rsidR="00F55EFA" w:rsidRDefault="00F55EFA" w:rsidP="00854AF7">
      <w:pPr>
        <w:jc w:val="both"/>
      </w:pPr>
      <w:r>
        <w:t>Arriveranno sui conti correnti degli enti beneficiari queste somme di loro spettanza? La risposta purtroppo non può essere completamente positiva, e la previsione, vista l’esperienza vissuta nei primi quattro anni di gestione del CUP, porta a dubitare fortemente della corretta liquidazione dell’entrata.</w:t>
      </w:r>
    </w:p>
    <w:p w14:paraId="4B2308C0" w14:textId="7370D421" w:rsidR="009B31CD" w:rsidRDefault="009B31CD" w:rsidP="00854AF7">
      <w:pPr>
        <w:jc w:val="both"/>
      </w:pPr>
      <w:r>
        <w:t>Due sono le caratteristiche di questo speciale canone che portano in corto circuito i controlli sulla correttezza dei pagamenti:</w:t>
      </w:r>
    </w:p>
    <w:p w14:paraId="7147D7AF" w14:textId="2BBD4371" w:rsidR="009B31CD" w:rsidRDefault="009B31CD" w:rsidP="009B31CD">
      <w:pPr>
        <w:pStyle w:val="Paragrafoelenco"/>
        <w:numPr>
          <w:ilvl w:val="0"/>
          <w:numId w:val="1"/>
        </w:numPr>
        <w:jc w:val="both"/>
      </w:pPr>
      <w:r>
        <w:t>Il criterio di quantificazione legato al numero di utenze attive e non alla reale occupazione espressa in metri quadrati. Un criterio quindi non tangibile e non facilmente misurabile da parte degli Uffici Entrate degli Enti locali</w:t>
      </w:r>
      <w:r w:rsidR="00666A7B">
        <w:t>.</w:t>
      </w:r>
    </w:p>
    <w:p w14:paraId="6A447026" w14:textId="107258D8" w:rsidR="009B31CD" w:rsidRDefault="009B31CD" w:rsidP="009B31CD">
      <w:pPr>
        <w:pStyle w:val="Paragrafoelenco"/>
        <w:numPr>
          <w:ilvl w:val="0"/>
          <w:numId w:val="1"/>
        </w:numPr>
        <w:jc w:val="both"/>
      </w:pPr>
      <w:r>
        <w:t>Il sistema di autoliquidazione, che porta le singole aziende</w:t>
      </w:r>
      <w:r w:rsidR="00666A7B">
        <w:t xml:space="preserve"> erogatrici</w:t>
      </w:r>
      <w:r>
        <w:t xml:space="preserve"> a: interpretare </w:t>
      </w:r>
      <w:r w:rsidR="00666A7B">
        <w:t xml:space="preserve">autonomamente </w:t>
      </w:r>
      <w:r>
        <w:t xml:space="preserve">la norma, dichiarare le utenze attive, calcolare la tariffa di riferimento applicando </w:t>
      </w:r>
      <w:r w:rsidR="00666A7B">
        <w:t xml:space="preserve">(spesso no) </w:t>
      </w:r>
      <w:r>
        <w:t>l’adeguamento Istat rispetto alla tariffa base del 2021, e infine a versare ai Comuni e alle Province il canone ritenuto dovuto.</w:t>
      </w:r>
    </w:p>
    <w:p w14:paraId="5E38F1D0" w14:textId="3F11A0E1" w:rsidR="009B31CD" w:rsidRDefault="009B31CD" w:rsidP="009B31CD">
      <w:pPr>
        <w:jc w:val="both"/>
      </w:pPr>
      <w:r>
        <w:t xml:space="preserve">Due caratteristiche che stanno mettendo in forte difficoltà gli </w:t>
      </w:r>
      <w:r w:rsidR="00666A7B">
        <w:t xml:space="preserve">stessi </w:t>
      </w:r>
      <w:r>
        <w:t xml:space="preserve">Enti beneficiari che si trovano a subire le iniziative delle aziende che erogano i pubblici servizi, senza avere strumenti adeguati </w:t>
      </w:r>
      <w:r w:rsidR="004A0563">
        <w:t>a</w:t>
      </w:r>
      <w:r>
        <w:t xml:space="preserve"> contrastare alcune errate interpretazioni del dettato normativo. </w:t>
      </w:r>
    </w:p>
    <w:p w14:paraId="6907B91A" w14:textId="33F5E77D" w:rsidR="00E0267E" w:rsidRDefault="00943510" w:rsidP="00854AF7">
      <w:pPr>
        <w:jc w:val="both"/>
      </w:pPr>
      <w:r>
        <w:t>Nei primi anni di gestione</w:t>
      </w:r>
      <w:r w:rsidR="004A0563">
        <w:t>, infatti,</w:t>
      </w:r>
      <w:r>
        <w:t xml:space="preserve"> abbiamo potuto constatare come</w:t>
      </w:r>
      <w:r w:rsidR="00854AF7">
        <w:t>, in diverse circostanze</w:t>
      </w:r>
      <w:r>
        <w:t xml:space="preserve">, la norma è stata interpretata in modo diverso dalle varie società, che, </w:t>
      </w:r>
      <w:r w:rsidR="00854AF7">
        <w:t>a seconda della convenienza,</w:t>
      </w:r>
      <w:r>
        <w:t xml:space="preserve"> hanno applicato</w:t>
      </w:r>
      <w:r w:rsidR="00854AF7">
        <w:t xml:space="preserve"> il criterio di calcolo fissato nella norma di interpretazione autentica</w:t>
      </w:r>
      <w:r w:rsidR="00B22F41">
        <w:t xml:space="preserve"> </w:t>
      </w:r>
      <w:r w:rsidR="00B22F41" w:rsidRPr="00B22F41">
        <w:t>(</w:t>
      </w:r>
      <w:r w:rsidR="00B22F41" w:rsidRPr="00B22F41">
        <w:t>introdott</w:t>
      </w:r>
      <w:r w:rsidR="00B22F41" w:rsidRPr="00B22F41">
        <w:t>o</w:t>
      </w:r>
      <w:r w:rsidR="00B22F41" w:rsidRPr="00B22F41">
        <w:t xml:space="preserve"> dalla legge n. 215/2021, di conversione del D.L. n. 146/2021</w:t>
      </w:r>
      <w:r w:rsidR="00B22F41" w:rsidRPr="00B22F41">
        <w:t>)</w:t>
      </w:r>
      <w:r w:rsidR="00854AF7">
        <w:t xml:space="preserve"> piuttosto che quello previsto in caso di soggettività passiva in via mediata</w:t>
      </w:r>
      <w:r w:rsidR="00B22F41">
        <w:t>, previsto nella versione emendata del comma 831 della L. 160/2019</w:t>
      </w:r>
      <w:r w:rsidR="00854AF7">
        <w:t xml:space="preserve">. </w:t>
      </w:r>
    </w:p>
    <w:p w14:paraId="2FB1E757" w14:textId="7AAEC5F1" w:rsidR="00897783" w:rsidRDefault="00943510" w:rsidP="00854AF7">
      <w:pPr>
        <w:jc w:val="both"/>
      </w:pPr>
      <w:r>
        <w:t xml:space="preserve">Il risultato è stato un ammanco importante di gettito atteso da parte degli enti, </w:t>
      </w:r>
      <w:r w:rsidR="00E0267E">
        <w:t>in particolare ne</w:t>
      </w:r>
      <w:r w:rsidR="004A0563">
        <w:t>i</w:t>
      </w:r>
      <w:r w:rsidR="00E0267E">
        <w:t xml:space="preserve"> settor</w:t>
      </w:r>
      <w:r w:rsidR="004A0563">
        <w:t>i</w:t>
      </w:r>
      <w:r w:rsidR="00E0267E">
        <w:t xml:space="preserve"> della telefonia</w:t>
      </w:r>
      <w:r w:rsidR="004A0563">
        <w:t xml:space="preserve"> e del</w:t>
      </w:r>
      <w:r w:rsidR="00B22F41">
        <w:t xml:space="preserve"> Ciclo idrico</w:t>
      </w:r>
      <w:r>
        <w:t xml:space="preserve"> </w:t>
      </w:r>
      <w:r w:rsidR="00E0267E">
        <w:t>per i qual</w:t>
      </w:r>
      <w:r w:rsidR="004A0563">
        <w:t>i</w:t>
      </w:r>
      <w:r w:rsidR="00E0267E">
        <w:t xml:space="preserve">, nei </w:t>
      </w:r>
      <w:r>
        <w:t xml:space="preserve">primi quattro anni già trascorsi, </w:t>
      </w:r>
      <w:r w:rsidR="00E0267E">
        <w:t xml:space="preserve">non è stato riscosso </w:t>
      </w:r>
      <w:r>
        <w:t>gran parte d</w:t>
      </w:r>
      <w:r w:rsidR="00E0267E">
        <w:t>el</w:t>
      </w:r>
      <w:r>
        <w:t xml:space="preserve"> gettito atteso</w:t>
      </w:r>
      <w:r w:rsidR="00B22F41">
        <w:t>, fondamentalmente perché molte aziende si sono ritenute estranee al presupposto</w:t>
      </w:r>
      <w:r w:rsidR="00897783">
        <w:t>.</w:t>
      </w:r>
    </w:p>
    <w:p w14:paraId="77D21E6C" w14:textId="1DECAED5" w:rsidR="00713E25" w:rsidRDefault="006F71A1" w:rsidP="00275737">
      <w:pPr>
        <w:jc w:val="both"/>
      </w:pPr>
      <w:r>
        <w:t xml:space="preserve">Quante volte </w:t>
      </w:r>
      <w:r w:rsidR="00236317">
        <w:t xml:space="preserve">in questi anni </w:t>
      </w:r>
      <w:r>
        <w:t xml:space="preserve">abbiamo riscontrato </w:t>
      </w:r>
      <w:r w:rsidR="00236317">
        <w:t>diverse interpretazioni sul</w:t>
      </w:r>
      <w:r w:rsidR="00AE4863">
        <w:t xml:space="preserve">l’ambito di applicazione della </w:t>
      </w:r>
      <w:r w:rsidR="00236317">
        <w:t xml:space="preserve">soggettività passiva in via mediata? Quante aziende </w:t>
      </w:r>
      <w:r w:rsidR="008923DE">
        <w:t>a capitale pubblico hanno interpretato la norma ritenendosi esenti dal pagamento</w:t>
      </w:r>
      <w:r w:rsidR="00F521C5">
        <w:t>?</w:t>
      </w:r>
      <w:r w:rsidR="008923DE">
        <w:t xml:space="preserve"> </w:t>
      </w:r>
      <w:r w:rsidR="00F521C5">
        <w:t>Q</w:t>
      </w:r>
      <w:r w:rsidR="008923DE">
        <w:t xml:space="preserve">uanti operatori hanno fatto leva su convenzioni nelle quali </w:t>
      </w:r>
      <w:r w:rsidR="00AB7B98">
        <w:t>venivano</w:t>
      </w:r>
      <w:r w:rsidR="008923DE">
        <w:t xml:space="preserve"> </w:t>
      </w:r>
      <w:r w:rsidR="00AB7B98">
        <w:t>garantite</w:t>
      </w:r>
      <w:r w:rsidR="008923DE">
        <w:t xml:space="preserve"> esclusioni dal prelievo?</w:t>
      </w:r>
      <w:r>
        <w:t xml:space="preserve"> Al quinto anno di gestione CUP</w:t>
      </w:r>
      <w:r w:rsidR="00604655">
        <w:t xml:space="preserve"> </w:t>
      </w:r>
      <w:r>
        <w:t>diventa vitale</w:t>
      </w:r>
      <w:r w:rsidR="00AE4863">
        <w:t xml:space="preserve">, in un contesto </w:t>
      </w:r>
      <w:r w:rsidR="007C49B4">
        <w:t>caratterizzato</w:t>
      </w:r>
      <w:r w:rsidR="00AE4863">
        <w:t xml:space="preserve"> ancora </w:t>
      </w:r>
      <w:r w:rsidR="007C49B4">
        <w:t xml:space="preserve">da </w:t>
      </w:r>
      <w:r w:rsidR="00AE4863">
        <w:t>grande incertezza,</w:t>
      </w:r>
      <w:r>
        <w:t xml:space="preserve"> procedere al più presto con l’attività di controllo</w:t>
      </w:r>
      <w:r w:rsidR="008923DE">
        <w:t xml:space="preserve"> </w:t>
      </w:r>
      <w:r w:rsidR="00604655">
        <w:t>definendo</w:t>
      </w:r>
      <w:r w:rsidR="008923DE">
        <w:t xml:space="preserve"> la giusta misura d</w:t>
      </w:r>
      <w:r w:rsidR="00AB7B98">
        <w:t xml:space="preserve">el gettito atteso </w:t>
      </w:r>
      <w:r w:rsidR="008923DE">
        <w:t>nelle casse dell’</w:t>
      </w:r>
      <w:r w:rsidR="00AE4863">
        <w:t>E</w:t>
      </w:r>
      <w:r w:rsidR="008923DE">
        <w:t>nt</w:t>
      </w:r>
      <w:r w:rsidR="00AE4863">
        <w:t>e.</w:t>
      </w:r>
    </w:p>
    <w:p w14:paraId="470EF51C" w14:textId="77777777" w:rsidR="00B22F41" w:rsidRPr="002374BF" w:rsidRDefault="00B22F41" w:rsidP="00275737">
      <w:pPr>
        <w:jc w:val="both"/>
        <w:rPr>
          <w:i/>
          <w:iCs/>
        </w:rPr>
      </w:pPr>
      <w:r>
        <w:t>Ma vediamo co</w:t>
      </w:r>
      <w:r w:rsidR="004A0563">
        <w:t>me avverrà il versamento per il 2025</w:t>
      </w:r>
      <w:r>
        <w:t xml:space="preserve">. </w:t>
      </w:r>
      <w:r w:rsidR="004A0563">
        <w:t xml:space="preserve">Il Comma 831, art. 1 Legge 160/2019 ha previsto: </w:t>
      </w:r>
      <w:r w:rsidR="004A0563" w:rsidRPr="004A0563">
        <w:rPr>
          <w:i/>
          <w:iCs/>
        </w:rPr>
        <w:t>“… Gli importi sono rivalutati annualmente in base all'indice ISTAT dei prezzi al consumo rilevati al 31 dicembre dell'anno precedente. Il versamento del canone è effettuato entro il 30 aprile di ciascun anno in unica soluzione attraverso la piattaforma di cui all'articolo 5 del codice di cui al </w:t>
      </w:r>
      <w:hyperlink r:id="rId5" w:tgtFrame="_blank" w:history="1">
        <w:r w:rsidR="004A0563" w:rsidRPr="002374BF">
          <w:rPr>
            <w:i/>
            <w:iCs/>
          </w:rPr>
          <w:t>decreto legislativo 7 marzo 2005, n. 82</w:t>
        </w:r>
      </w:hyperlink>
      <w:r w:rsidR="004A0563" w:rsidRPr="004A0563">
        <w:rPr>
          <w:i/>
          <w:iCs/>
        </w:rPr>
        <w:t>…”</w:t>
      </w:r>
      <w:r w:rsidR="004A0563">
        <w:rPr>
          <w:i/>
          <w:iCs/>
        </w:rPr>
        <w:t>.</w:t>
      </w:r>
      <w:r w:rsidR="004A0563" w:rsidRPr="002374BF">
        <w:rPr>
          <w:i/>
          <w:iCs/>
        </w:rPr>
        <w:t xml:space="preserve"> </w:t>
      </w:r>
    </w:p>
    <w:p w14:paraId="7DB287DA" w14:textId="080EFE49" w:rsidR="004A0563" w:rsidRDefault="004A0563" w:rsidP="00275737">
      <w:pPr>
        <w:jc w:val="both"/>
      </w:pPr>
      <w:r>
        <w:t>Saranno quindi le stesse aziende che, attraverso la piattaforma di PagoPA, verseranno</w:t>
      </w:r>
      <w:r w:rsidR="002374BF">
        <w:t xml:space="preserve"> </w:t>
      </w:r>
      <w:r>
        <w:t>in autoliquidazione quanto ritenuto corretto, in base alla interpretazione data della norma.</w:t>
      </w:r>
    </w:p>
    <w:p w14:paraId="54095AFB" w14:textId="13E61322" w:rsidR="007C49B4" w:rsidRDefault="0036368A" w:rsidP="00C16E93">
      <w:pPr>
        <w:jc w:val="both"/>
      </w:pPr>
      <w:r>
        <w:lastRenderedPageBreak/>
        <w:t>Attendiamo quindi i</w:t>
      </w:r>
      <w:r w:rsidR="007C49B4">
        <w:t xml:space="preserve">l 30 aprile prossimo </w:t>
      </w:r>
      <w:r>
        <w:t xml:space="preserve">per valutare l’entità dei versamenti ricevuti dalle diverse aziende e </w:t>
      </w:r>
      <w:r w:rsidR="00B22F41">
        <w:t xml:space="preserve">per </w:t>
      </w:r>
      <w:r>
        <w:t>poter capire, rispetto al gettito atteso, quanto è stato effettivamente versato e qu</w:t>
      </w:r>
      <w:r w:rsidR="002348F6">
        <w:t>a</w:t>
      </w:r>
      <w:r>
        <w:t>n</w:t>
      </w:r>
      <w:r w:rsidR="002348F6">
        <w:t>to</w:t>
      </w:r>
      <w:r>
        <w:t xml:space="preserve"> invece necessità di </w:t>
      </w:r>
      <w:r w:rsidR="00A164DE">
        <w:t>un’attività</w:t>
      </w:r>
      <w:r>
        <w:t xml:space="preserve"> di recupero per i </w:t>
      </w:r>
      <w:r w:rsidR="002348F6">
        <w:t>C</w:t>
      </w:r>
      <w:r>
        <w:t xml:space="preserve">omuni e le </w:t>
      </w:r>
      <w:r w:rsidR="002348F6">
        <w:t>P</w:t>
      </w:r>
      <w:r>
        <w:t>rovince del nostro Paese.</w:t>
      </w:r>
    </w:p>
    <w:p w14:paraId="78BB6FD9" w14:textId="7CE71007" w:rsidR="004A0563" w:rsidRDefault="002374BF" w:rsidP="004A0563">
      <w:pPr>
        <w:jc w:val="both"/>
      </w:pPr>
      <w:r>
        <w:t>Come noto,</w:t>
      </w:r>
      <w:r w:rsidR="004A0563">
        <w:t xml:space="preserve"> il pagamento su piattaforma pagoPA prevede due modalità di esecuzione: il pagamento “atteso” e il pagamento “spontaneo”. La tipologia di pagamento che devono effettuare le società Corporate rientra fra i pagamenti spontanei e, pertanto, le stesse dovrebbero collegarsi su ciascun portale degli Enti creditori, prodursi l’avviso di pagamento ed effettuare singoli pagamenti. Risulta evidente la difficoltà di questa operazione per il numero elevato di singole operazioni che le società Corporate dovrebbero effettuare entro la scadenza.</w:t>
      </w:r>
    </w:p>
    <w:p w14:paraId="4C61797E" w14:textId="111A693D" w:rsidR="00FA2A5E" w:rsidRPr="00FA2A5E" w:rsidRDefault="00FA2A5E" w:rsidP="00FA2A5E">
      <w:pPr>
        <w:jc w:val="both"/>
      </w:pPr>
      <w:r>
        <w:t>La soluzione “Canone Unico” è stata presentata da</w:t>
      </w:r>
      <w:r w:rsidR="00A164DE">
        <w:t>lla società</w:t>
      </w:r>
      <w:r>
        <w:t xml:space="preserve"> PagoPA</w:t>
      </w:r>
      <w:r w:rsidR="00A164DE">
        <w:t xml:space="preserve"> SpA </w:t>
      </w:r>
      <w:r>
        <w:t xml:space="preserve"> </w:t>
      </w:r>
      <w:r w:rsidR="00A164DE" w:rsidRPr="00A164DE">
        <w:t>quale gestore dell’omonima piattaforma</w:t>
      </w:r>
      <w:r w:rsidR="00A164DE">
        <w:t xml:space="preserve">, </w:t>
      </w:r>
      <w:r>
        <w:t>come “</w:t>
      </w:r>
      <w:r w:rsidRPr="00FA2A5E">
        <w:rPr>
          <w:i/>
          <w:iCs/>
        </w:rPr>
        <w:t>una soluzione a misura di Corporate”</w:t>
      </w:r>
      <w:r>
        <w:rPr>
          <w:i/>
          <w:iCs/>
        </w:rPr>
        <w:t>,</w:t>
      </w:r>
      <w:r>
        <w:t xml:space="preserve"> come si legge nel comunicato pubblicato sul </w:t>
      </w:r>
      <w:r w:rsidR="00A164DE">
        <w:t xml:space="preserve">loro </w:t>
      </w:r>
      <w:r>
        <w:t>portale</w:t>
      </w:r>
      <w:r w:rsidR="00A164DE">
        <w:t>:</w:t>
      </w:r>
      <w:r>
        <w:t xml:space="preserve"> </w:t>
      </w:r>
      <w:hyperlink r:id="rId6" w:history="1">
        <w:r>
          <w:rPr>
            <w:rStyle w:val="Collegamentoipertestuale"/>
          </w:rPr>
          <w:t>https://www.pagopa.gov.it/it/notizie/2021-04-01-canone-unico.html</w:t>
        </w:r>
      </w:hyperlink>
      <w:r>
        <w:t xml:space="preserve">. </w:t>
      </w:r>
    </w:p>
    <w:p w14:paraId="37563B55" w14:textId="77777777" w:rsidR="004A0563" w:rsidRDefault="004A0563" w:rsidP="004A0563">
      <w:pPr>
        <w:jc w:val="both"/>
      </w:pPr>
      <w:r>
        <w:t>Tramite la soluzione “Canone Unico”, le società Corporate potranno comunicare gli importi autodichiarati e ricevere digitalmente i dati necessari utili per procedere con il pagamento massivo attraverso una qualunque soluzione offerta dai Prestatori di Servizi di Pagamento (PSP) aderenti alla piattaforma pagoPA.</w:t>
      </w:r>
    </w:p>
    <w:p w14:paraId="5AC56C30" w14:textId="77777777" w:rsidR="004A0563" w:rsidRDefault="004A0563" w:rsidP="004A0563">
      <w:pPr>
        <w:jc w:val="both"/>
      </w:pPr>
      <w:r>
        <w:t xml:space="preserve">PagoPA SpA, contestualmente alla richiesta da parte delle società Corporate, genererà i numeri avvisi dell’importo dichiarato dalle società stesse e comunicherà i dati del referente dei pagamenti (email, anagrafica e PEC istituzionale) per agevolare la comunicazione. La richiesta di generazione degli avvisi avverrà a mezzo posta elettronica certificata (PEC) allegando un file in formato CSV contenente un tracciato definito da PagoPA SpA. </w:t>
      </w:r>
    </w:p>
    <w:p w14:paraId="5D54FF8C" w14:textId="217C3B25" w:rsidR="004A0563" w:rsidRDefault="004A0563" w:rsidP="004A0563">
      <w:pPr>
        <w:jc w:val="both"/>
      </w:pPr>
      <w:r>
        <w:t xml:space="preserve">Gli Enti </w:t>
      </w:r>
      <w:r w:rsidR="00A164DE">
        <w:t xml:space="preserve">beneficiari </w:t>
      </w:r>
      <w:r>
        <w:t>riceveranno una comunicazione da parte delle società Corporate sulla PEC dell’Ente come previsto dal Comma 831, art. 1, Legge 160/2019 così come modificato dal comma 838, art. 1, Legge 178/2020 contenente le Ricevute Telematiche dei pagamenti tramite PEC dalle società Corporate.</w:t>
      </w:r>
    </w:p>
    <w:p w14:paraId="068B2BC7" w14:textId="60C794F7" w:rsidR="004A0563" w:rsidRDefault="004A0563" w:rsidP="004A0563">
      <w:pPr>
        <w:jc w:val="both"/>
      </w:pPr>
      <w:r>
        <w:t xml:space="preserve">Nessun ruolo attivo viene </w:t>
      </w:r>
      <w:r w:rsidR="00A164DE">
        <w:t xml:space="preserve">quindi </w:t>
      </w:r>
      <w:r>
        <w:t xml:space="preserve">riconosciuto agli enti beneficiari, </w:t>
      </w:r>
      <w:r w:rsidR="00FA2A5E">
        <w:t xml:space="preserve">in questa speciale procedura </w:t>
      </w:r>
      <w:r w:rsidR="00FA2A5E" w:rsidRPr="00A164DE">
        <w:rPr>
          <w:i/>
          <w:iCs/>
        </w:rPr>
        <w:t>a misura di Corporate</w:t>
      </w:r>
      <w:r w:rsidR="00FA2A5E">
        <w:t xml:space="preserve">, così che a Comuni e </w:t>
      </w:r>
      <w:r w:rsidR="00A164DE">
        <w:t>Province non</w:t>
      </w:r>
      <w:r>
        <w:t xml:space="preserve"> resta </w:t>
      </w:r>
      <w:r w:rsidR="00A164DE">
        <w:t xml:space="preserve">oggi </w:t>
      </w:r>
      <w:r>
        <w:t xml:space="preserve">che attendere fiduciosi </w:t>
      </w:r>
      <w:r w:rsidR="00A164DE">
        <w:t>que</w:t>
      </w:r>
      <w:r>
        <w:t>i pagamenti spontanei effettuati dalle aziende che operano nel proprio territorio di competenza</w:t>
      </w:r>
      <w:r w:rsidR="00FA2A5E">
        <w:t xml:space="preserve"> e sperare di non dover attivare procedure di accertamento</w:t>
      </w:r>
      <w:r w:rsidR="00A164DE">
        <w:t xml:space="preserve">, decisamente complicate, </w:t>
      </w:r>
      <w:r w:rsidR="00FA2A5E">
        <w:t>nei confronti di chi non ha versato correttamente.</w:t>
      </w:r>
    </w:p>
    <w:p w14:paraId="44565D4C" w14:textId="77777777" w:rsidR="004A0563" w:rsidRDefault="004A0563" w:rsidP="004A0563">
      <w:pPr>
        <w:jc w:val="both"/>
      </w:pPr>
    </w:p>
    <w:p w14:paraId="11C2775A" w14:textId="77777777" w:rsidR="004A0563" w:rsidRPr="00933761" w:rsidRDefault="004A0563" w:rsidP="00C16E93">
      <w:pPr>
        <w:jc w:val="both"/>
      </w:pPr>
    </w:p>
    <w:sectPr w:rsidR="004A0563" w:rsidRPr="0093376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16722"/>
    <w:multiLevelType w:val="hybridMultilevel"/>
    <w:tmpl w:val="6A606EF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243566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E8B"/>
    <w:rsid w:val="00060149"/>
    <w:rsid w:val="000F5D3F"/>
    <w:rsid w:val="001144B5"/>
    <w:rsid w:val="00123DCD"/>
    <w:rsid w:val="001260F7"/>
    <w:rsid w:val="0013174E"/>
    <w:rsid w:val="001F4B9E"/>
    <w:rsid w:val="00225AEF"/>
    <w:rsid w:val="00232E90"/>
    <w:rsid w:val="002348F6"/>
    <w:rsid w:val="00236317"/>
    <w:rsid w:val="002374BF"/>
    <w:rsid w:val="00275737"/>
    <w:rsid w:val="00277FA7"/>
    <w:rsid w:val="002C2E8B"/>
    <w:rsid w:val="00301BEC"/>
    <w:rsid w:val="00325DF5"/>
    <w:rsid w:val="0036200F"/>
    <w:rsid w:val="0036368A"/>
    <w:rsid w:val="003673CB"/>
    <w:rsid w:val="00407C9C"/>
    <w:rsid w:val="004A0563"/>
    <w:rsid w:val="004A63A0"/>
    <w:rsid w:val="005E4AAB"/>
    <w:rsid w:val="005F501C"/>
    <w:rsid w:val="00604655"/>
    <w:rsid w:val="00635AF6"/>
    <w:rsid w:val="00666A7B"/>
    <w:rsid w:val="006B684E"/>
    <w:rsid w:val="006C2DD7"/>
    <w:rsid w:val="006F71A1"/>
    <w:rsid w:val="00713E25"/>
    <w:rsid w:val="007252FC"/>
    <w:rsid w:val="00743D4D"/>
    <w:rsid w:val="007B1496"/>
    <w:rsid w:val="007C49B4"/>
    <w:rsid w:val="007F2D38"/>
    <w:rsid w:val="00832CE8"/>
    <w:rsid w:val="00854AF7"/>
    <w:rsid w:val="008923DE"/>
    <w:rsid w:val="00897783"/>
    <w:rsid w:val="008C4703"/>
    <w:rsid w:val="008E7483"/>
    <w:rsid w:val="00930F5B"/>
    <w:rsid w:val="00933761"/>
    <w:rsid w:val="00943510"/>
    <w:rsid w:val="00965E99"/>
    <w:rsid w:val="00997878"/>
    <w:rsid w:val="009B31CD"/>
    <w:rsid w:val="009E4C50"/>
    <w:rsid w:val="00A164DE"/>
    <w:rsid w:val="00A17125"/>
    <w:rsid w:val="00A500CB"/>
    <w:rsid w:val="00AB7B98"/>
    <w:rsid w:val="00AE3C02"/>
    <w:rsid w:val="00AE4863"/>
    <w:rsid w:val="00B02D91"/>
    <w:rsid w:val="00B22F41"/>
    <w:rsid w:val="00BA0109"/>
    <w:rsid w:val="00BC0E46"/>
    <w:rsid w:val="00BE2A57"/>
    <w:rsid w:val="00C16E93"/>
    <w:rsid w:val="00C33A76"/>
    <w:rsid w:val="00C447E6"/>
    <w:rsid w:val="00C5048D"/>
    <w:rsid w:val="00D55E10"/>
    <w:rsid w:val="00E0267E"/>
    <w:rsid w:val="00E629B8"/>
    <w:rsid w:val="00E80E17"/>
    <w:rsid w:val="00E81090"/>
    <w:rsid w:val="00E93F16"/>
    <w:rsid w:val="00EE3D7D"/>
    <w:rsid w:val="00EF0DA3"/>
    <w:rsid w:val="00F521C5"/>
    <w:rsid w:val="00F52202"/>
    <w:rsid w:val="00F55EFA"/>
    <w:rsid w:val="00F817C5"/>
    <w:rsid w:val="00FA2A5E"/>
    <w:rsid w:val="00FA575A"/>
    <w:rsid w:val="00FB02C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F1964"/>
  <w15:chartTrackingRefBased/>
  <w15:docId w15:val="{6440F9CE-D3D1-4A2D-87BC-AFE71348E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C2E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2C2E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2C2E8B"/>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2C2E8B"/>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2C2E8B"/>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2C2E8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C2E8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C2E8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C2E8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C2E8B"/>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2C2E8B"/>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2C2E8B"/>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2C2E8B"/>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2C2E8B"/>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2C2E8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C2E8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C2E8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C2E8B"/>
    <w:rPr>
      <w:rFonts w:eastAsiaTheme="majorEastAsia" w:cstheme="majorBidi"/>
      <w:color w:val="272727" w:themeColor="text1" w:themeTint="D8"/>
    </w:rPr>
  </w:style>
  <w:style w:type="paragraph" w:styleId="Titolo">
    <w:name w:val="Title"/>
    <w:basedOn w:val="Normale"/>
    <w:next w:val="Normale"/>
    <w:link w:val="TitoloCarattere"/>
    <w:uiPriority w:val="10"/>
    <w:qFormat/>
    <w:rsid w:val="002C2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C2E8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C2E8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C2E8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C2E8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C2E8B"/>
    <w:rPr>
      <w:i/>
      <w:iCs/>
      <w:color w:val="404040" w:themeColor="text1" w:themeTint="BF"/>
    </w:rPr>
  </w:style>
  <w:style w:type="paragraph" w:styleId="Paragrafoelenco">
    <w:name w:val="List Paragraph"/>
    <w:basedOn w:val="Normale"/>
    <w:uiPriority w:val="34"/>
    <w:qFormat/>
    <w:rsid w:val="002C2E8B"/>
    <w:pPr>
      <w:ind w:left="720"/>
      <w:contextualSpacing/>
    </w:pPr>
  </w:style>
  <w:style w:type="character" w:styleId="Enfasiintensa">
    <w:name w:val="Intense Emphasis"/>
    <w:basedOn w:val="Carpredefinitoparagrafo"/>
    <w:uiPriority w:val="21"/>
    <w:qFormat/>
    <w:rsid w:val="002C2E8B"/>
    <w:rPr>
      <w:i/>
      <w:iCs/>
      <w:color w:val="2F5496" w:themeColor="accent1" w:themeShade="BF"/>
    </w:rPr>
  </w:style>
  <w:style w:type="paragraph" w:styleId="Citazioneintensa">
    <w:name w:val="Intense Quote"/>
    <w:basedOn w:val="Normale"/>
    <w:next w:val="Normale"/>
    <w:link w:val="CitazioneintensaCarattere"/>
    <w:uiPriority w:val="30"/>
    <w:qFormat/>
    <w:rsid w:val="002C2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2C2E8B"/>
    <w:rPr>
      <w:i/>
      <w:iCs/>
      <w:color w:val="2F5496" w:themeColor="accent1" w:themeShade="BF"/>
    </w:rPr>
  </w:style>
  <w:style w:type="character" w:styleId="Riferimentointenso">
    <w:name w:val="Intense Reference"/>
    <w:basedOn w:val="Carpredefinitoparagrafo"/>
    <w:uiPriority w:val="32"/>
    <w:qFormat/>
    <w:rsid w:val="002C2E8B"/>
    <w:rPr>
      <w:b/>
      <w:bCs/>
      <w:smallCaps/>
      <w:color w:val="2F5496" w:themeColor="accent1" w:themeShade="BF"/>
      <w:spacing w:val="5"/>
    </w:rPr>
  </w:style>
  <w:style w:type="character" w:styleId="Collegamentoipertestuale">
    <w:name w:val="Hyperlink"/>
    <w:basedOn w:val="Carpredefinitoparagrafo"/>
    <w:uiPriority w:val="99"/>
    <w:unhideWhenUsed/>
    <w:rsid w:val="004A0563"/>
    <w:rPr>
      <w:color w:val="0563C1" w:themeColor="hyperlink"/>
      <w:u w:val="single"/>
    </w:rPr>
  </w:style>
  <w:style w:type="character" w:styleId="Menzionenonrisolta">
    <w:name w:val="Unresolved Mention"/>
    <w:basedOn w:val="Carpredefinitoparagrafo"/>
    <w:uiPriority w:val="99"/>
    <w:semiHidden/>
    <w:unhideWhenUsed/>
    <w:rsid w:val="004A0563"/>
    <w:rPr>
      <w:color w:val="605E5C"/>
      <w:shd w:val="clear" w:color="auto" w:fill="E1DFDD"/>
    </w:rPr>
  </w:style>
  <w:style w:type="character" w:styleId="Collegamentovisitato">
    <w:name w:val="FollowedHyperlink"/>
    <w:basedOn w:val="Carpredefinitoparagrafo"/>
    <w:uiPriority w:val="99"/>
    <w:semiHidden/>
    <w:unhideWhenUsed/>
    <w:rsid w:val="004A05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agopa.gov.it/it/notizie/2021-04-01-canone-unico.html" TargetMode="External"/><Relationship Id="rId5" Type="http://schemas.openxmlformats.org/officeDocument/2006/relationships/hyperlink" Target="https://www.normattiva.it/uri-res/N2Ls?urn:nir:stato:decreto.legislativo:2005-03-07;82"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1145</TotalTime>
  <Pages>2</Pages>
  <Words>1064</Words>
  <Characters>6069</Characters>
  <Application>Microsoft Office Word</Application>
  <DocSecurity>0</DocSecurity>
  <Lines>50</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36</cp:revision>
  <cp:lastPrinted>2025-03-21T15:48:00Z</cp:lastPrinted>
  <dcterms:created xsi:type="dcterms:W3CDTF">2025-03-18T12:01:00Z</dcterms:created>
  <dcterms:modified xsi:type="dcterms:W3CDTF">2025-04-17T06:49:00Z</dcterms:modified>
</cp:coreProperties>
</file>