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5979" w14:textId="579F92EA" w:rsidR="00060149" w:rsidRDefault="00AB2F72">
      <w:r>
        <w:t>Titolo:</w:t>
      </w:r>
      <w:r w:rsidR="00C446E6">
        <w:t xml:space="preserve"> </w:t>
      </w:r>
      <w:r w:rsidR="00C446E6" w:rsidRPr="00C446E6">
        <w:t>Il comma 666 della Legge Finanziaria 2025 - proroga esenzione sisma</w:t>
      </w:r>
    </w:p>
    <w:p w14:paraId="5B0C0FB1" w14:textId="446A4973" w:rsidR="00AB2F72" w:rsidRDefault="00AB2F72">
      <w:r>
        <w:t>di Alessandro Merciari</w:t>
      </w:r>
    </w:p>
    <w:p w14:paraId="1C0875AF" w14:textId="77777777" w:rsidR="00C52B41" w:rsidRDefault="008B73F9" w:rsidP="008B73F9">
      <w:pPr>
        <w:jc w:val="both"/>
      </w:pPr>
      <w:r>
        <w:t>La Legge Finanziaria 2025 ha dedicato due commi alla disciplina CUP</w:t>
      </w:r>
      <w:r w:rsidR="00C52B41">
        <w:t>. C</w:t>
      </w:r>
      <w:r>
        <w:t xml:space="preserve">on il comma 757 sono state apportate modifiche alle disposizioni contenute nei commi 817, 821 e 825 della legge 160/2019, mentre con il comma 666 è stata fissata una proroga per il 2025 dell’agevolazione già disposta negli anni precedenti a favore dei territori terremotati. </w:t>
      </w:r>
    </w:p>
    <w:p w14:paraId="35CE4FC3" w14:textId="112037C7" w:rsidR="008B73F9" w:rsidRDefault="008B73F9" w:rsidP="008B73F9">
      <w:pPr>
        <w:jc w:val="both"/>
      </w:pPr>
      <w:r>
        <w:t>Con il presente approfondimento analizziamo proprio questa disposizione.</w:t>
      </w:r>
    </w:p>
    <w:p w14:paraId="0F1353CF" w14:textId="686A1872" w:rsidR="00C4116F" w:rsidRPr="00C4116F" w:rsidRDefault="00C4116F" w:rsidP="00C4116F">
      <w:pPr>
        <w:jc w:val="both"/>
        <w:rPr>
          <w:i/>
          <w:iCs/>
        </w:rPr>
      </w:pPr>
      <w:r>
        <w:t xml:space="preserve">Il </w:t>
      </w:r>
      <w:r w:rsidRPr="00C4116F">
        <w:t>comma 666 della Legg 30 dicembre 2024, n. 207</w:t>
      </w:r>
      <w:r>
        <w:t xml:space="preserve"> prevede: “</w:t>
      </w:r>
      <w:r w:rsidRPr="00C4116F">
        <w:rPr>
          <w:i/>
          <w:iCs/>
        </w:rPr>
        <w:t>Per l'anno 2025, con riferimento alle fattispecie individuate dall'articolo 1, comma 997, della legge 30 dicembre 2018, n. 145, non sono dovuti i canoni di cui all'articolo 1, commi da 816 a 847, della legge 27 dicembre 2019, n. 160. Per il ristoro ai comuni a fronte delle minori entrate derivanti dalla disposizione di cui al primo periodo del presente comma, il fondo di cui al comma 1 dell'articolo 17-ter del decreto-legge 31 dicembre 2020, n. 183, convertito, con modificazioni, dalla legge 26 febbraio 2021, n. 21, è incrementato di 5 milioni di euro per l'anno 2025.</w:t>
      </w:r>
      <w:r>
        <w:rPr>
          <w:i/>
          <w:iCs/>
        </w:rPr>
        <w:t>”</w:t>
      </w:r>
    </w:p>
    <w:p w14:paraId="39E5C7E8" w14:textId="3BE52473" w:rsidR="00C4116F" w:rsidRDefault="007C6FC2">
      <w:r>
        <w:t>Cosa prevedeva la Legge 145 del 2018?</w:t>
      </w:r>
    </w:p>
    <w:p w14:paraId="017FA3D9" w14:textId="77777777" w:rsidR="00AB2F72" w:rsidRPr="00AB2F72" w:rsidRDefault="00AB2F72" w:rsidP="00AB2F72">
      <w:pPr>
        <w:jc w:val="both"/>
      </w:pPr>
      <w:r w:rsidRPr="00AB2F72">
        <w:t xml:space="preserve">Ai sensi del comma 997 della Legge Finanziaria 2019: </w:t>
      </w:r>
      <w:r w:rsidRPr="00AB2F72">
        <w:rPr>
          <w:i/>
          <w:iCs/>
        </w:rPr>
        <w:t xml:space="preserve">“L'imposta per le insegne di esercizio di attività commerciali e di produzione di beni o servizi e la tassa di occupazione per gli spazi ed aree pubbliche ai sensi del decreto legislativo 15 novembre 1993, n. 507, </w:t>
      </w:r>
      <w:r w:rsidRPr="00AB2F72">
        <w:rPr>
          <w:i/>
          <w:iCs/>
          <w:u w:val="single"/>
        </w:rPr>
        <w:t>non è dovuta per le attività con sede legale od operativa nei territori delle regioni Abruzzo, Lazio, Marche e Umbria, interessati dagli eventi sismici verificatisi a far data dal 24 agosto 2016, ricompresi nei comuni indicati negli allegati 1, 2 e 2-bis al decreto-legge 17 ottobre 2016, n. 189, convertito, con modificazioni, dalla legge 15 dicembre 2016, n. 229</w:t>
      </w:r>
      <w:r w:rsidRPr="00AB2F72">
        <w:rPr>
          <w:i/>
          <w:iCs/>
        </w:rPr>
        <w:t>.”</w:t>
      </w:r>
      <w:r w:rsidRPr="00AB2F72">
        <w:t xml:space="preserve"> </w:t>
      </w:r>
    </w:p>
    <w:p w14:paraId="18BD7096" w14:textId="77777777" w:rsidR="00AB2F72" w:rsidRPr="00AB2F72" w:rsidRDefault="00AB2F72" w:rsidP="00AB2F72">
      <w:pPr>
        <w:jc w:val="both"/>
      </w:pPr>
      <w:r w:rsidRPr="00AB2F72">
        <w:t>Pertanto, in base alla disposizione normativa, per quanto riguarda le occupazioni di suolo pubblico, queste godono genericamente dell’esenzione quando viene rispettato il solo requisito soggettivo rappresentato nell’aver sede legale oppure sede operativa in uno dei comune ricompresi negli allegati del D.L. 189/2016.</w:t>
      </w:r>
    </w:p>
    <w:p w14:paraId="3694D92D" w14:textId="700875F7" w:rsidR="00AB2F72" w:rsidRDefault="00AB2F72" w:rsidP="00AB2F72">
      <w:pPr>
        <w:jc w:val="both"/>
      </w:pPr>
      <w:r w:rsidRPr="00AB2F72">
        <w:t xml:space="preserve">L’agevolazione dovrà essere quindi riconosciuta per tutte le occupazioni realizzate in tutti i Comuni del territorio nazionale, valutando solamente la sede del soggetto che la effettua. In questo senso, come più volte </w:t>
      </w:r>
      <w:r w:rsidR="007C6FC2">
        <w:t>ribadito</w:t>
      </w:r>
      <w:r w:rsidRPr="00AB2F72">
        <w:t>, il requisito territoriale non riguarda l’ubicazione dell’occupazione ma la sede della ditta che occupa il suolo pubblico.</w:t>
      </w:r>
      <w:r w:rsidR="007C6FC2">
        <w:t xml:space="preserve"> E questo ha aperto una vera e propria anomalia.</w:t>
      </w:r>
    </w:p>
    <w:p w14:paraId="354A078A" w14:textId="2F93C4AE" w:rsidR="00E72E47" w:rsidRPr="00E72E47" w:rsidRDefault="00E72E47" w:rsidP="00E72E47">
      <w:pPr>
        <w:jc w:val="both"/>
      </w:pPr>
      <w:r w:rsidRPr="00E72E47">
        <w:t xml:space="preserve">Con riferimento al decreto del 1° marzo 2024 del MEF contenente i termini e le modalità di trasmissione dei dati relativi alle minori entrate per l’applicazione dell’esenzione dal Canone Unico Patrimoniale per le attività con sede legale od operativa nei territori delle regioni Abruzzo, Lazio, Marche e Umbria, interessati dagli eventi sismici verificatisi a far data dal 24 agosto 2016, ricompresi nei Comuni indicati negli allegati 1, 2 e 2-bis al Decreto Legge n. 189/2016, </w:t>
      </w:r>
      <w:r>
        <w:t>si deve osservare come,</w:t>
      </w:r>
      <w:r w:rsidRPr="00E72E47">
        <w:t xml:space="preserve"> in merito all’invio dei dati per il ristoro,</w:t>
      </w:r>
      <w:r>
        <w:t xml:space="preserve"> questo potrà </w:t>
      </w:r>
      <w:r w:rsidRPr="00E72E47">
        <w:t xml:space="preserve">essere trasmesso </w:t>
      </w:r>
      <w:r>
        <w:t xml:space="preserve">solo dai Comuni </w:t>
      </w:r>
      <w:r w:rsidRPr="00E72E47">
        <w:t>ricompres</w:t>
      </w:r>
      <w:r>
        <w:t>i</w:t>
      </w:r>
      <w:r w:rsidRPr="00E72E47">
        <w:t xml:space="preserve"> negli elenchi di cui ai citati allegati, </w:t>
      </w:r>
      <w:r>
        <w:t xml:space="preserve">escludendo dal beneficio quelle Amministrazioni che </w:t>
      </w:r>
      <w:r w:rsidRPr="00E72E47">
        <w:t xml:space="preserve">comunque </w:t>
      </w:r>
      <w:r>
        <w:t xml:space="preserve">hanno </w:t>
      </w:r>
      <w:r w:rsidRPr="00E72E47">
        <w:t>avuto negli anni occupazioni realizzate sul proprio territorio da ditte la cui sede legale risultava nei Comuni indicati nei predetti elenchi.</w:t>
      </w:r>
    </w:p>
    <w:p w14:paraId="4794000F" w14:textId="7424EF6A" w:rsidR="00AB2F72" w:rsidRDefault="00E72E47" w:rsidP="007C6FC2">
      <w:pPr>
        <w:jc w:val="both"/>
      </w:pPr>
      <w:r w:rsidRPr="00E72E47">
        <w:t xml:space="preserve">Di fatto vengono riconosciuti i rimborsi per le minori entrate derivanti dall’agevolazione disposta dal comma 997 della Legge Finanziaria 2019, ai soli comuni rientranti negli allegati al DL 189/2016, penalizzando </w:t>
      </w:r>
      <w:r w:rsidR="007C6FC2">
        <w:t>di fatto</w:t>
      </w:r>
      <w:r w:rsidRPr="00E72E47">
        <w:t xml:space="preserve"> gli altri comuni che hanno comunque subito una diminuzione di gettito, che tuttavia non possono</w:t>
      </w:r>
      <w:r w:rsidR="007C6FC2">
        <w:t xml:space="preserve"> </w:t>
      </w:r>
      <w:r w:rsidRPr="00E72E47">
        <w:t>presentare la domanda di rimborso non rientrando negli elenchi dei comuni terremotati.</w:t>
      </w:r>
    </w:p>
    <w:p w14:paraId="36120FC6" w14:textId="200A1B32" w:rsidR="00831678" w:rsidRDefault="00831678" w:rsidP="00C52B41">
      <w:pPr>
        <w:jc w:val="both"/>
      </w:pPr>
      <w:r>
        <w:t xml:space="preserve">Il fondo </w:t>
      </w:r>
      <w:r w:rsidR="00C52B41">
        <w:t xml:space="preserve">che fu </w:t>
      </w:r>
      <w:r>
        <w:t>fissato dal Ministero dell'interno con una dotazione</w:t>
      </w:r>
      <w:r w:rsidR="00C52B41">
        <w:t xml:space="preserve"> iniziale </w:t>
      </w:r>
      <w:r>
        <w:t xml:space="preserve"> di 4 milioni di euro per l'anno 2021, </w:t>
      </w:r>
      <w:r w:rsidR="00C52B41">
        <w:t>venne</w:t>
      </w:r>
      <w:r>
        <w:t xml:space="preserve"> quindi destinato solo ai  comuni  di  cui  agli allegati 1, 2 e 2-bis al  decreto-legge  17  ottobre  2016,  n.  189, convertito, con modificazioni, dalla legge 15 dicembre 2016, n.  229, che </w:t>
      </w:r>
      <w:r w:rsidR="00C52B41">
        <w:t>dovevano</w:t>
      </w:r>
      <w:r>
        <w:t xml:space="preserve"> comunicare le minori entrate </w:t>
      </w:r>
      <w:r w:rsidR="00C52B41">
        <w:t>esclusivamente a</w:t>
      </w:r>
      <w:r>
        <w:t xml:space="preserve">  mezzo  di posta elettronica certificata  utilizzando  l’apposito   modello.</w:t>
      </w:r>
    </w:p>
    <w:p w14:paraId="6DF3F685" w14:textId="77777777" w:rsidR="00831678" w:rsidRDefault="00831678" w:rsidP="00831678"/>
    <w:p w14:paraId="78626A80" w14:textId="64235D2F" w:rsidR="00831678" w:rsidRDefault="00831678" w:rsidP="00C52B41">
      <w:pPr>
        <w:jc w:val="both"/>
      </w:pPr>
      <w:r>
        <w:t>È evidente come vi sia stato</w:t>
      </w:r>
      <w:r w:rsidR="00C52B41">
        <w:t xml:space="preserve"> fin dall’inizio</w:t>
      </w:r>
      <w:r>
        <w:t xml:space="preserve"> un errore di valutazione, ritenendo che solo i Comuni del cratere potessero essere coinvolti dall’agevolazione. </w:t>
      </w:r>
      <w:r w:rsidR="00C52B41">
        <w:t>Per il 2025 il problema si ripete non avendo apportato nessun correttivo alla norma se non estenderne l’efficacia per il corrente anno e incrementare il fondo di 5 milioni di Euro.</w:t>
      </w:r>
    </w:p>
    <w:sectPr w:rsidR="0083167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A2"/>
    <w:rsid w:val="00060149"/>
    <w:rsid w:val="00065462"/>
    <w:rsid w:val="00202316"/>
    <w:rsid w:val="003368DD"/>
    <w:rsid w:val="007B1496"/>
    <w:rsid w:val="007C6FC2"/>
    <w:rsid w:val="007F0AA2"/>
    <w:rsid w:val="00831678"/>
    <w:rsid w:val="008B73F9"/>
    <w:rsid w:val="00AB2F72"/>
    <w:rsid w:val="00C4116F"/>
    <w:rsid w:val="00C446E6"/>
    <w:rsid w:val="00C52B41"/>
    <w:rsid w:val="00DD43F4"/>
    <w:rsid w:val="00E675D7"/>
    <w:rsid w:val="00E72E47"/>
    <w:rsid w:val="00F852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3B124"/>
  <w15:chartTrackingRefBased/>
  <w15:docId w15:val="{C8016D41-A8FF-4A33-87A5-CF1E9947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F0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F0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F0AA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F0AA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F0AA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F0AA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F0AA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F0AA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F0AA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F0AA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F0AA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F0AA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F0AA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F0AA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F0AA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F0AA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F0AA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F0AA2"/>
    <w:rPr>
      <w:rFonts w:eastAsiaTheme="majorEastAsia" w:cstheme="majorBidi"/>
      <w:color w:val="272727" w:themeColor="text1" w:themeTint="D8"/>
    </w:rPr>
  </w:style>
  <w:style w:type="paragraph" w:styleId="Titolo">
    <w:name w:val="Title"/>
    <w:basedOn w:val="Normale"/>
    <w:next w:val="Normale"/>
    <w:link w:val="TitoloCarattere"/>
    <w:uiPriority w:val="10"/>
    <w:qFormat/>
    <w:rsid w:val="007F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F0AA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F0AA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F0AA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F0AA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F0AA2"/>
    <w:rPr>
      <w:i/>
      <w:iCs/>
      <w:color w:val="404040" w:themeColor="text1" w:themeTint="BF"/>
    </w:rPr>
  </w:style>
  <w:style w:type="paragraph" w:styleId="Paragrafoelenco">
    <w:name w:val="List Paragraph"/>
    <w:basedOn w:val="Normale"/>
    <w:uiPriority w:val="34"/>
    <w:qFormat/>
    <w:rsid w:val="007F0AA2"/>
    <w:pPr>
      <w:ind w:left="720"/>
      <w:contextualSpacing/>
    </w:pPr>
  </w:style>
  <w:style w:type="character" w:styleId="Enfasiintensa">
    <w:name w:val="Intense Emphasis"/>
    <w:basedOn w:val="Carpredefinitoparagrafo"/>
    <w:uiPriority w:val="21"/>
    <w:qFormat/>
    <w:rsid w:val="007F0AA2"/>
    <w:rPr>
      <w:i/>
      <w:iCs/>
      <w:color w:val="2F5496" w:themeColor="accent1" w:themeShade="BF"/>
    </w:rPr>
  </w:style>
  <w:style w:type="paragraph" w:styleId="Citazioneintensa">
    <w:name w:val="Intense Quote"/>
    <w:basedOn w:val="Normale"/>
    <w:next w:val="Normale"/>
    <w:link w:val="CitazioneintensaCarattere"/>
    <w:uiPriority w:val="30"/>
    <w:qFormat/>
    <w:rsid w:val="007F0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F0AA2"/>
    <w:rPr>
      <w:i/>
      <w:iCs/>
      <w:color w:val="2F5496" w:themeColor="accent1" w:themeShade="BF"/>
    </w:rPr>
  </w:style>
  <w:style w:type="character" w:styleId="Riferimentointenso">
    <w:name w:val="Intense Reference"/>
    <w:basedOn w:val="Carpredefinitoparagrafo"/>
    <w:uiPriority w:val="32"/>
    <w:qFormat/>
    <w:rsid w:val="007F0A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069631">
      <w:bodyDiv w:val="1"/>
      <w:marLeft w:val="0"/>
      <w:marRight w:val="0"/>
      <w:marTop w:val="0"/>
      <w:marBottom w:val="0"/>
      <w:divBdr>
        <w:top w:val="none" w:sz="0" w:space="0" w:color="auto"/>
        <w:left w:val="none" w:sz="0" w:space="0" w:color="auto"/>
        <w:bottom w:val="none" w:sz="0" w:space="0" w:color="auto"/>
        <w:right w:val="none" w:sz="0" w:space="0" w:color="auto"/>
      </w:divBdr>
    </w:div>
    <w:div w:id="1261716387">
      <w:bodyDiv w:val="1"/>
      <w:marLeft w:val="0"/>
      <w:marRight w:val="0"/>
      <w:marTop w:val="0"/>
      <w:marBottom w:val="0"/>
      <w:divBdr>
        <w:top w:val="none" w:sz="0" w:space="0" w:color="auto"/>
        <w:left w:val="none" w:sz="0" w:space="0" w:color="auto"/>
        <w:bottom w:val="none" w:sz="0" w:space="0" w:color="auto"/>
        <w:right w:val="none" w:sz="0" w:space="0" w:color="auto"/>
      </w:divBdr>
    </w:div>
    <w:div w:id="1661076351">
      <w:bodyDiv w:val="1"/>
      <w:marLeft w:val="0"/>
      <w:marRight w:val="0"/>
      <w:marTop w:val="0"/>
      <w:marBottom w:val="0"/>
      <w:divBdr>
        <w:top w:val="none" w:sz="0" w:space="0" w:color="auto"/>
        <w:left w:val="none" w:sz="0" w:space="0" w:color="auto"/>
        <w:bottom w:val="none" w:sz="0" w:space="0" w:color="auto"/>
        <w:right w:val="none" w:sz="0" w:space="0" w:color="auto"/>
      </w:divBdr>
    </w:div>
    <w:div w:id="1829203431">
      <w:bodyDiv w:val="1"/>
      <w:marLeft w:val="0"/>
      <w:marRight w:val="0"/>
      <w:marTop w:val="0"/>
      <w:marBottom w:val="0"/>
      <w:divBdr>
        <w:top w:val="none" w:sz="0" w:space="0" w:color="auto"/>
        <w:left w:val="none" w:sz="0" w:space="0" w:color="auto"/>
        <w:bottom w:val="none" w:sz="0" w:space="0" w:color="auto"/>
        <w:right w:val="none" w:sz="0" w:space="0" w:color="auto"/>
      </w:divBdr>
    </w:div>
    <w:div w:id="1921283341">
      <w:bodyDiv w:val="1"/>
      <w:marLeft w:val="0"/>
      <w:marRight w:val="0"/>
      <w:marTop w:val="0"/>
      <w:marBottom w:val="0"/>
      <w:divBdr>
        <w:top w:val="none" w:sz="0" w:space="0" w:color="auto"/>
        <w:left w:val="none" w:sz="0" w:space="0" w:color="auto"/>
        <w:bottom w:val="none" w:sz="0" w:space="0" w:color="auto"/>
        <w:right w:val="none" w:sz="0" w:space="0" w:color="auto"/>
      </w:divBdr>
    </w:div>
    <w:div w:id="205739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684</Words>
  <Characters>3905</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10</cp:revision>
  <dcterms:created xsi:type="dcterms:W3CDTF">2025-01-15T12:11:00Z</dcterms:created>
  <dcterms:modified xsi:type="dcterms:W3CDTF">2025-02-08T11:44:00Z</dcterms:modified>
</cp:coreProperties>
</file>