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0FE6D" w14:textId="13BCE8AB" w:rsidR="006D1636" w:rsidRPr="00BD3482" w:rsidRDefault="00B06E02">
      <w:pPr>
        <w:rPr>
          <w:b/>
          <w:bCs/>
        </w:rPr>
      </w:pPr>
      <w:r w:rsidRPr="00BD3482">
        <w:rPr>
          <w:b/>
          <w:bCs/>
        </w:rPr>
        <w:t>Titolo: il sistema di riscossione delle entrate locali.</w:t>
      </w:r>
      <w:r w:rsidR="006D2BF2" w:rsidRPr="00BD3482">
        <w:rPr>
          <w:b/>
          <w:bCs/>
        </w:rPr>
        <w:t xml:space="preserve"> </w:t>
      </w:r>
      <w:r w:rsidR="00F66BC7" w:rsidRPr="00BD3482">
        <w:rPr>
          <w:b/>
          <w:bCs/>
        </w:rPr>
        <w:t>Il pignoramento dei crediti verso terzi</w:t>
      </w:r>
      <w:r w:rsidR="00BD3482" w:rsidRPr="00BD3482">
        <w:rPr>
          <w:b/>
          <w:bCs/>
        </w:rPr>
        <w:t xml:space="preserve"> (art. 72-bis DPR 602/73)</w:t>
      </w:r>
    </w:p>
    <w:p w14:paraId="022C3DA2" w14:textId="7C05C1E3" w:rsidR="00B06E02" w:rsidRDefault="00A80CD0" w:rsidP="00F52DF4">
      <w:pPr>
        <w:jc w:val="both"/>
      </w:pPr>
      <w:r>
        <w:t>Il sistema di riscossione delle entrate locali</w:t>
      </w:r>
      <w:r w:rsidR="00F66BC7">
        <w:t>, come noto,</w:t>
      </w:r>
      <w:r>
        <w:t xml:space="preserve"> </w:t>
      </w:r>
      <w:r w:rsidR="00F52DF4">
        <w:t xml:space="preserve">ha visto una importante evoluzione </w:t>
      </w:r>
      <w:r>
        <w:t>dopo l’introduzione dell</w:t>
      </w:r>
      <w:r w:rsidR="006D2BF2">
        <w:t xml:space="preserve">e novità </w:t>
      </w:r>
      <w:r>
        <w:t>contenut</w:t>
      </w:r>
      <w:r w:rsidR="006D2BF2">
        <w:t>e</w:t>
      </w:r>
      <w:r>
        <w:t xml:space="preserve"> nei commi 792 e seguenti dell</w:t>
      </w:r>
      <w:r w:rsidR="00AC50A5">
        <w:t>’articolo 1 della</w:t>
      </w:r>
      <w:r>
        <w:t xml:space="preserve"> Legge 160/2019</w:t>
      </w:r>
      <w:r w:rsidR="00AC50A5">
        <w:t>. Gr</w:t>
      </w:r>
      <w:r w:rsidR="00F52DF4">
        <w:t xml:space="preserve">azie </w:t>
      </w:r>
      <w:r w:rsidR="00AC50A5">
        <w:t>a queste disposizioni</w:t>
      </w:r>
      <w:r w:rsidR="00F52DF4">
        <w:t xml:space="preserve"> oggi possiamo parlare</w:t>
      </w:r>
      <w:r w:rsidR="00AC50A5">
        <w:t>,</w:t>
      </w:r>
      <w:r w:rsidR="00F52DF4">
        <w:t xml:space="preserve"> anche per gli Enti locali</w:t>
      </w:r>
      <w:r w:rsidR="00AC50A5">
        <w:t>,</w:t>
      </w:r>
      <w:r w:rsidR="00F52DF4">
        <w:t xml:space="preserve"> di</w:t>
      </w:r>
      <w:r w:rsidR="00AC50A5">
        <w:t xml:space="preserve"> un sistema di riscossione agile e diretto che vede </w:t>
      </w:r>
      <w:r w:rsidR="00F66BC7">
        <w:t>l’Avviso</w:t>
      </w:r>
      <w:r>
        <w:t xml:space="preserve"> di Accertamento quale strumento </w:t>
      </w:r>
      <w:r w:rsidR="00F52DF4">
        <w:t>potenziato</w:t>
      </w:r>
      <w:r>
        <w:t xml:space="preserve"> per </w:t>
      </w:r>
      <w:r w:rsidR="00F52DF4">
        <w:t>la riscossione de</w:t>
      </w:r>
      <w:r>
        <w:t xml:space="preserve">i tributi e </w:t>
      </w:r>
      <w:r w:rsidR="00F52DF4">
        <w:t>del</w:t>
      </w:r>
      <w:r>
        <w:t>le entrate patrimoniali</w:t>
      </w:r>
      <w:r w:rsidR="00F52DF4" w:rsidRPr="00F52DF4">
        <w:t xml:space="preserve"> </w:t>
      </w:r>
      <w:r w:rsidR="00F66BC7">
        <w:t>equiparabile alla cartella di pagamento in uso ad AdER, l’Agenzia delle Entrate Riscossione</w:t>
      </w:r>
      <w:r w:rsidR="00F52DF4">
        <w:t>.</w:t>
      </w:r>
    </w:p>
    <w:p w14:paraId="718A2506" w14:textId="2F67FF38" w:rsidR="00E00B22" w:rsidRDefault="00F66BC7" w:rsidP="00F66BC7">
      <w:pPr>
        <w:jc w:val="both"/>
      </w:pPr>
      <w:r>
        <w:t xml:space="preserve">Nel modello di riscossione coattiva </w:t>
      </w:r>
      <w:r w:rsidR="00045870">
        <w:t xml:space="preserve">organizzata </w:t>
      </w:r>
      <w:r>
        <w:t>in economia, ovvero senza ricorrere ai servizi dell’Agente della Riscossione nazionale, l</w:t>
      </w:r>
      <w:r w:rsidR="00E00B22">
        <w:t>’ente locale,</w:t>
      </w:r>
      <w:r w:rsidR="003C48D8">
        <w:t xml:space="preserve"> </w:t>
      </w:r>
      <w:r w:rsidR="00E00B22">
        <w:t>potrà attivare</w:t>
      </w:r>
      <w:r w:rsidR="00005FF6">
        <w:t xml:space="preserve"> </w:t>
      </w:r>
      <w:r w:rsidR="003C48D8">
        <w:t>direttamente, con il proprio ufficio entrate, le</w:t>
      </w:r>
      <w:r w:rsidR="00E00B22">
        <w:t xml:space="preserve"> procedure cautelari ed esecutive regolate dal DPR 602/73. </w:t>
      </w:r>
      <w:r w:rsidR="003C48D8">
        <w:t>Nel</w:t>
      </w:r>
      <w:r w:rsidR="00E00B22">
        <w:t xml:space="preserve"> comma 792</w:t>
      </w:r>
      <w:r w:rsidR="003C48D8">
        <w:t xml:space="preserve"> della Legge 160/2019</w:t>
      </w:r>
      <w:r w:rsidR="00E00B22">
        <w:t xml:space="preserve"> </w:t>
      </w:r>
      <w:r w:rsidR="003C48D8">
        <w:t>si legge</w:t>
      </w:r>
      <w:r w:rsidR="00E00B22">
        <w:t xml:space="preserve"> </w:t>
      </w:r>
      <w:r w:rsidR="00045870">
        <w:t xml:space="preserve">infatti </w:t>
      </w:r>
      <w:r w:rsidR="00E00B22">
        <w:t xml:space="preserve">che </w:t>
      </w:r>
      <w:r w:rsidR="00E00B22" w:rsidRPr="00F66BC7">
        <w:rPr>
          <w:i/>
          <w:iCs/>
        </w:rPr>
        <w:t xml:space="preserve">gli atti devono </w:t>
      </w:r>
      <w:r w:rsidR="003C48D8" w:rsidRPr="00F66BC7">
        <w:rPr>
          <w:i/>
          <w:iCs/>
        </w:rPr>
        <w:t>altresì recare</w:t>
      </w:r>
      <w:r w:rsidR="00E00B22" w:rsidRPr="00F66BC7">
        <w:rPr>
          <w:i/>
          <w:iCs/>
        </w:rPr>
        <w:t xml:space="preserve">   espressamente   l'indicazione   che   gli   stessi </w:t>
      </w:r>
      <w:r w:rsidR="00045870" w:rsidRPr="00F66BC7">
        <w:rPr>
          <w:i/>
          <w:iCs/>
        </w:rPr>
        <w:t>costituiscono titolo</w:t>
      </w:r>
      <w:r w:rsidR="00E00B22" w:rsidRPr="00F66BC7">
        <w:rPr>
          <w:i/>
          <w:iCs/>
        </w:rPr>
        <w:t xml:space="preserve">  esecutivo  idoneo  ad  attivare  le  procedure esecutive e cautelari </w:t>
      </w:r>
      <w:r w:rsidR="00005FF6" w:rsidRPr="00F66BC7">
        <w:rPr>
          <w:i/>
          <w:iCs/>
        </w:rPr>
        <w:t>nonché</w:t>
      </w:r>
      <w:r w:rsidR="00E00B22" w:rsidRPr="00F66BC7">
        <w:rPr>
          <w:i/>
          <w:iCs/>
        </w:rPr>
        <w:t xml:space="preserve">' l'indicazione del soggetto che, decorsi sessanta giorni dal termine ultimo per il pagamento, </w:t>
      </w:r>
      <w:r w:rsidR="00005FF6" w:rsidRPr="00F66BC7">
        <w:rPr>
          <w:i/>
          <w:iCs/>
        </w:rPr>
        <w:t>procederà</w:t>
      </w:r>
      <w:r w:rsidR="00E00B22" w:rsidRPr="00F66BC7">
        <w:rPr>
          <w:i/>
          <w:iCs/>
        </w:rPr>
        <w:t xml:space="preserve">  alla riscossione delle somme  richieste,  anche  ai  fini  dell'esecuzione forzata. </w:t>
      </w:r>
    </w:p>
    <w:p w14:paraId="521CB2D5" w14:textId="26D50BDA" w:rsidR="006D2BF2" w:rsidRDefault="003C48D8" w:rsidP="00C35A01">
      <w:pPr>
        <w:jc w:val="both"/>
      </w:pPr>
      <w:r>
        <w:t xml:space="preserve">Con l’odierno approfondimento </w:t>
      </w:r>
      <w:r w:rsidR="00E96677">
        <w:t xml:space="preserve">analizziamo una delle procedure più </w:t>
      </w:r>
      <w:r w:rsidR="00717AF1">
        <w:t xml:space="preserve">efficaci a disposizione dei Funzionari delle entrate dei Comuni. Il pignoramento dei crediti verso terzi </w:t>
      </w:r>
      <w:r w:rsidR="00AA18B2">
        <w:t>disciplinato</w:t>
      </w:r>
      <w:r w:rsidR="00717AF1">
        <w:t xml:space="preserve"> dall’articolo 72-bis del DPR 602/1972.</w:t>
      </w:r>
    </w:p>
    <w:p w14:paraId="563474AC" w14:textId="24DDD97D" w:rsidR="00AA18B2" w:rsidRDefault="00AA18B2" w:rsidP="00C35A01">
      <w:pPr>
        <w:jc w:val="both"/>
      </w:pPr>
      <w:r>
        <w:t xml:space="preserve">Una procedura speciale che consente all’ufficio </w:t>
      </w:r>
      <w:r w:rsidR="00045870">
        <w:t xml:space="preserve">di </w:t>
      </w:r>
      <w:r>
        <w:t xml:space="preserve">non </w:t>
      </w:r>
      <w:r w:rsidR="00045870">
        <w:t xml:space="preserve">seguire </w:t>
      </w:r>
      <w:r>
        <w:t xml:space="preserve">la normativa ordinaria prevista per i pignoramenti, ma </w:t>
      </w:r>
      <w:r w:rsidR="00E73F70">
        <w:t>anzi</w:t>
      </w:r>
      <w:r w:rsidR="00045870">
        <w:t xml:space="preserve"> </w:t>
      </w:r>
      <w:r>
        <w:t>di seguire l’iter disciplinato nell’articolo 72-bis caratterizzato da</w:t>
      </w:r>
      <w:r w:rsidR="00045870">
        <w:t xml:space="preserve"> una </w:t>
      </w:r>
      <w:r>
        <w:t>azione diretta</w:t>
      </w:r>
      <w:r w:rsidR="00045870">
        <w:t xml:space="preserve"> da parte</w:t>
      </w:r>
      <w:r>
        <w:t xml:space="preserve"> del titolare del credito</w:t>
      </w:r>
      <w:r w:rsidR="00045870">
        <w:t xml:space="preserve"> che emana l’ordine al terzo di pagare direttamente le somme di competenza del debitore</w:t>
      </w:r>
      <w:r>
        <w:t>.</w:t>
      </w:r>
      <w:r w:rsidR="00E73F70">
        <w:t xml:space="preserve"> Una procedura snella, veloce ed efficace che pone l’ufficio in condizioni di recuperare i propri crediti certi liquidi ed esigibili incardinati in un provvedimento divenuto titolo esecutivo.</w:t>
      </w:r>
    </w:p>
    <w:p w14:paraId="1D559177" w14:textId="7B8B779E" w:rsidR="00D006C3" w:rsidRDefault="00AA18B2" w:rsidP="00C35A01">
      <w:pPr>
        <w:jc w:val="both"/>
      </w:pPr>
      <w:r>
        <w:t>La norma, pur essendo di introduzione abbastanza recente è già stata oggetto di numerose modifiche legislative.</w:t>
      </w:r>
      <w:r w:rsidR="00257912">
        <w:t xml:space="preserve"> Inizialmente la procedura era prevista solo per i crediti di lavoro e solo successivamente è stata estesa a tutti i debitori del fisco, anche locale</w:t>
      </w:r>
      <w:r w:rsidR="00D006C3">
        <w:t xml:space="preserve">, tranne </w:t>
      </w:r>
      <w:r w:rsidR="00045870">
        <w:t xml:space="preserve">che </w:t>
      </w:r>
      <w:r w:rsidR="00D006C3">
        <w:t>per i crediti pensionistici</w:t>
      </w:r>
      <w:r w:rsidR="00257912">
        <w:t xml:space="preserve">. La legge 244 del 24.12.2007 inseriva poi un comma, il comma 1-bis, che permetteva la redazione dell’atto di pignoramento anche da parte di dipendenti dell’ente privi della qualifica di Ufficiale della Riscossione, oggi </w:t>
      </w:r>
      <w:r w:rsidR="00D006C3">
        <w:t xml:space="preserve">sostituito dal </w:t>
      </w:r>
      <w:r w:rsidR="00257912">
        <w:t>Funzionario Responsabile della Riscossione</w:t>
      </w:r>
      <w:r w:rsidR="007430EF">
        <w:t>.</w:t>
      </w:r>
      <w:r w:rsidR="00D006C3">
        <w:t xml:space="preserve"> Una sostanziale semplificazione della procedura che rende ancora più facile l’utilizzo dello strumento di riscossione coattiva.</w:t>
      </w:r>
    </w:p>
    <w:p w14:paraId="6818F96E" w14:textId="782D9F37" w:rsidR="00045870" w:rsidRDefault="00045870" w:rsidP="00C35A01">
      <w:pPr>
        <w:jc w:val="both"/>
      </w:pPr>
      <w:r>
        <w:t xml:space="preserve">Analizziamo </w:t>
      </w:r>
      <w:r w:rsidR="00E73F70">
        <w:t xml:space="preserve">ora </w:t>
      </w:r>
      <w:r>
        <w:t>i diversi passaggi contenuti nell’articolo 72-bis del DPR 602/73.</w:t>
      </w:r>
    </w:p>
    <w:p w14:paraId="2872952C" w14:textId="5EF43DFE" w:rsidR="00D006C3" w:rsidRDefault="00D006C3" w:rsidP="00C35A01">
      <w:pPr>
        <w:jc w:val="both"/>
        <w:rPr>
          <w:i/>
          <w:iCs/>
        </w:rPr>
      </w:pPr>
      <w:r>
        <w:t xml:space="preserve">Nell’attuale formulazione dell’articolo si legge: </w:t>
      </w:r>
      <w:r w:rsidRPr="00D006C3">
        <w:rPr>
          <w:i/>
          <w:iCs/>
        </w:rPr>
        <w:t>“… l’atto di pignoramento dei crediti del debitore verso terzi può contenere, in luogo della citazione di cui all’articolo 543, secondo comma, numero 4, dello stesso codice di procedura civile</w:t>
      </w:r>
      <w:r w:rsidRPr="00D006C3">
        <w:rPr>
          <w:i/>
          <w:iCs/>
          <w:u w:val="single"/>
        </w:rPr>
        <w:t>, l’ordine al terzo di pagare il credito direttamente al concessionario</w:t>
      </w:r>
      <w:r w:rsidRPr="00D006C3">
        <w:rPr>
          <w:i/>
          <w:iCs/>
        </w:rPr>
        <w:t>, fino a concorrenza del credito per cui si procede…”</w:t>
      </w:r>
      <w:r w:rsidR="00F146DC">
        <w:rPr>
          <w:i/>
          <w:iCs/>
        </w:rPr>
        <w:t>.</w:t>
      </w:r>
    </w:p>
    <w:p w14:paraId="4FC31899" w14:textId="1911E794" w:rsidR="00D006C3" w:rsidRPr="00F146DC" w:rsidRDefault="00D006C3" w:rsidP="00C35A01">
      <w:pPr>
        <w:jc w:val="both"/>
        <w:rPr>
          <w:b/>
          <w:bCs/>
        </w:rPr>
      </w:pPr>
      <w:r>
        <w:t>Il pignoramento di cui all’articolo 72-bis riunisce</w:t>
      </w:r>
      <w:r w:rsidR="00F146DC">
        <w:t xml:space="preserve"> pertanto in</w:t>
      </w:r>
      <w:r>
        <w:t xml:space="preserve"> sé </w:t>
      </w:r>
      <w:r w:rsidRPr="00F146DC">
        <w:rPr>
          <w:b/>
          <w:bCs/>
        </w:rPr>
        <w:t xml:space="preserve">l’atto di </w:t>
      </w:r>
      <w:r w:rsidR="00F146DC" w:rsidRPr="00F146DC">
        <w:rPr>
          <w:b/>
          <w:bCs/>
        </w:rPr>
        <w:t>pignoramento</w:t>
      </w:r>
      <w:r w:rsidR="00F146DC">
        <w:t xml:space="preserve"> e contestualmente </w:t>
      </w:r>
      <w:r w:rsidR="00F146DC" w:rsidRPr="00F146DC">
        <w:rPr>
          <w:b/>
          <w:bCs/>
        </w:rPr>
        <w:t>l’ordine di pagamento diretto al concessionario</w:t>
      </w:r>
      <w:r w:rsidR="00F146DC">
        <w:rPr>
          <w:b/>
          <w:bCs/>
        </w:rPr>
        <w:t>.</w:t>
      </w:r>
      <w:r w:rsidR="00E73F70">
        <w:rPr>
          <w:b/>
          <w:bCs/>
        </w:rPr>
        <w:t xml:space="preserve"> </w:t>
      </w:r>
      <w:r w:rsidR="00E73F70" w:rsidRPr="00E73F70">
        <w:t>Strumento</w:t>
      </w:r>
      <w:r w:rsidR="00E73F70">
        <w:t xml:space="preserve"> assolutamente </w:t>
      </w:r>
      <w:r w:rsidR="00E73F70" w:rsidRPr="00E73F70">
        <w:t>efficace per il rapido raggiungimento dell’obiettivo.</w:t>
      </w:r>
    </w:p>
    <w:p w14:paraId="6803D394" w14:textId="77777777" w:rsidR="00CF42D5" w:rsidRDefault="00D006C3" w:rsidP="00C35A01">
      <w:pPr>
        <w:jc w:val="both"/>
        <w:rPr>
          <w:i/>
          <w:iCs/>
        </w:rPr>
      </w:pPr>
      <w:r>
        <w:t xml:space="preserve"> </w:t>
      </w:r>
      <w:r w:rsidR="00F146DC">
        <w:t xml:space="preserve">L’articolo si apre con: </w:t>
      </w:r>
      <w:r w:rsidR="00F146DC" w:rsidRPr="00F146DC">
        <w:rPr>
          <w:i/>
          <w:iCs/>
        </w:rPr>
        <w:t>“</w:t>
      </w:r>
      <w:r w:rsidR="00F146DC" w:rsidRPr="00EB0402">
        <w:rPr>
          <w:i/>
          <w:iCs/>
          <w:u w:val="single"/>
        </w:rPr>
        <w:t>salvo che per i crediti pensionistici</w:t>
      </w:r>
      <w:r w:rsidR="00F146DC" w:rsidRPr="00F146DC">
        <w:rPr>
          <w:i/>
          <w:iCs/>
        </w:rPr>
        <w:t xml:space="preserve"> e fermo restando quanto previsto dall’articolo 545</w:t>
      </w:r>
      <w:r w:rsidR="006D416D">
        <w:rPr>
          <w:i/>
          <w:iCs/>
        </w:rPr>
        <w:t>, commi quarto quinto e sesto, del codice di procedura civile, e dell’articolo 72-ter del presente decreto</w:t>
      </w:r>
      <w:r w:rsidR="00F146DC" w:rsidRPr="00F146DC">
        <w:rPr>
          <w:i/>
          <w:iCs/>
        </w:rPr>
        <w:t>…”</w:t>
      </w:r>
      <w:r w:rsidR="00F146DC">
        <w:rPr>
          <w:i/>
          <w:iCs/>
        </w:rPr>
        <w:t xml:space="preserve">. </w:t>
      </w:r>
    </w:p>
    <w:p w14:paraId="4063DB29" w14:textId="217240E8" w:rsidR="00AA18B2" w:rsidRDefault="00E73F70" w:rsidP="00C35A01">
      <w:pPr>
        <w:jc w:val="both"/>
      </w:pPr>
      <w:r>
        <w:t xml:space="preserve">Il Legislatore lascia </w:t>
      </w:r>
      <w:r w:rsidR="00F146DC">
        <w:t>radicalmente esclusi dalla procedura i crediti pensionistici, per i quali il concessionario ha l’obbligo di attivare il pignoramento presso terzi ordinario, regolato dall’articolo 543 e ss del c.p.c.</w:t>
      </w:r>
    </w:p>
    <w:p w14:paraId="26EE5A92" w14:textId="300C997A" w:rsidR="00F146DC" w:rsidRDefault="00E73F70" w:rsidP="00C35A01">
      <w:pPr>
        <w:jc w:val="both"/>
      </w:pPr>
      <w:r>
        <w:lastRenderedPageBreak/>
        <w:t>La norma inoltre fissa i</w:t>
      </w:r>
      <w:r w:rsidR="00605217">
        <w:t xml:space="preserve"> limiti di pignorabilità già previsti per la procedura ordinaria</w:t>
      </w:r>
      <w:r>
        <w:t xml:space="preserve">, che saranno quindi applicati anche </w:t>
      </w:r>
      <w:r w:rsidR="00F146DC">
        <w:t>con la procedura speciale</w:t>
      </w:r>
      <w:r w:rsidR="00605217">
        <w:t xml:space="preserve">. La norma ne fa espressamente richiamo </w:t>
      </w:r>
      <w:r>
        <w:t>citando</w:t>
      </w:r>
      <w:r w:rsidR="00605217">
        <w:t xml:space="preserve"> i commi 4,5 e 6 dell’articolo 545 nonché </w:t>
      </w:r>
      <w:r>
        <w:t xml:space="preserve">richiamando </w:t>
      </w:r>
      <w:r w:rsidR="00605217">
        <w:t>l’articolo 72-ter del DPR 602/73.</w:t>
      </w:r>
    </w:p>
    <w:p w14:paraId="6E04124A" w14:textId="5F5E29CA" w:rsidR="00605217" w:rsidRDefault="00605217" w:rsidP="00C35A01">
      <w:pPr>
        <w:jc w:val="both"/>
      </w:pPr>
      <w:r>
        <w:t xml:space="preserve">I limiti </w:t>
      </w:r>
      <w:r w:rsidR="00C15960">
        <w:t xml:space="preserve">sostanzialmente </w:t>
      </w:r>
      <w:r>
        <w:t>riguardano le somme dovute a titolo di stipendio, di salario o di altre indennità relative al rapporto di lavoro o di impiego, comprese quelle dovute a causa di licenziamento, che potranno essere pignorate in misura pari ad un decimo o ad un settimo a seconda se l’importo risulti inferiore o superiore a 2.500 euro.</w:t>
      </w:r>
      <w:r w:rsidR="009A3137">
        <w:t xml:space="preserve"> La ratio della norma è quella evidentemente di preservare un credito direttamente legato al soddisfacimento delle esigenze primarie di vita del soggetto esecutato.</w:t>
      </w:r>
    </w:p>
    <w:p w14:paraId="2686E837" w14:textId="47817062" w:rsidR="009A3137" w:rsidRDefault="009A3137" w:rsidP="00C35A01">
      <w:pPr>
        <w:jc w:val="both"/>
      </w:pPr>
      <w:r>
        <w:t xml:space="preserve">Particolare la disposizione aggiunta con il DL 69 del 2013, il cd decreto del </w:t>
      </w:r>
      <w:r w:rsidR="00CF42D5">
        <w:t xml:space="preserve">Fare, che </w:t>
      </w:r>
      <w:r w:rsidR="00A3729F">
        <w:t>ha previsto</w:t>
      </w:r>
      <w:r w:rsidR="00CF42D5">
        <w:t xml:space="preserve">, in caso di accredito dello </w:t>
      </w:r>
      <w:r w:rsidR="007F0AC0">
        <w:t>stipendio diretto</w:t>
      </w:r>
      <w:r w:rsidR="00CF42D5">
        <w:t xml:space="preserve"> sul conto corrente bancario o postale del lavoratore, che l’ordine impartito al terzo non si estende all’ultimo emolumento accreditato, che rimarrà quindi nella piena disponibilità del debitore.</w:t>
      </w:r>
    </w:p>
    <w:p w14:paraId="1D85AE73" w14:textId="64499881" w:rsidR="00EB0402" w:rsidRDefault="00EB0402" w:rsidP="00C35A01">
      <w:pPr>
        <w:jc w:val="both"/>
        <w:rPr>
          <w:i/>
          <w:iCs/>
        </w:rPr>
      </w:pPr>
      <w:r>
        <w:t>Sempre nel comma 1 si legge: “</w:t>
      </w:r>
      <w:r>
        <w:rPr>
          <w:i/>
          <w:iCs/>
        </w:rPr>
        <w:t xml:space="preserve">… l’ordine di pagare il credito direttamente al concessionario, fino a concorrenza del credito per cui si procede: a) </w:t>
      </w:r>
      <w:r w:rsidRPr="00EB0402">
        <w:rPr>
          <w:i/>
          <w:iCs/>
          <w:u w:val="single"/>
        </w:rPr>
        <w:t>nel termine di sessanta giorni dalla notifica</w:t>
      </w:r>
      <w:r>
        <w:rPr>
          <w:i/>
          <w:iCs/>
        </w:rPr>
        <w:t xml:space="preserve"> dell’atto di pignoramento, per le somme per le quali il diritto alla percezione sia maturato anteriormente alla data di tale notifica; b) alle rispettive scadenze, per le restanti somme.</w:t>
      </w:r>
    </w:p>
    <w:p w14:paraId="766C8AD1" w14:textId="2FA019F2" w:rsidR="00EB0402" w:rsidRPr="00EB0402" w:rsidRDefault="00045870" w:rsidP="00C35A01">
      <w:pPr>
        <w:jc w:val="both"/>
      </w:pPr>
      <w:r>
        <w:t xml:space="preserve">Con questo passaggio il Legislatore ha dettato le regole in capo al terzo che dovrà eseguire l’ordine di pagamento entro 60 giorni dalla notifica dell’atto. Chiaramente verserà le somme del debitore nella sua disponibilità maturate fino a quel momento. Nel caso in cui non venga soddisfatta integralmente la somma per cui si procede, il terzo dovrà eseguire il versamento delle somme che verranno via via maturate a favore del debitore, fino alla concorrenza del credito per cui si procede. </w:t>
      </w:r>
    </w:p>
    <w:p w14:paraId="7808778C" w14:textId="77777777" w:rsidR="00EB0402" w:rsidRDefault="00EB0402" w:rsidP="00C35A01">
      <w:pPr>
        <w:jc w:val="both"/>
      </w:pPr>
      <w:r>
        <w:t xml:space="preserve">Il comma 1-bis dell’articolo 72-bis prevede: </w:t>
      </w:r>
      <w:r w:rsidRPr="00EB0402">
        <w:rPr>
          <w:i/>
          <w:iCs/>
        </w:rPr>
        <w:t xml:space="preserve">“L’atto di cui al comma 1 può essere redatto anche da dipendenti dell’agente della riscossione procedente </w:t>
      </w:r>
      <w:r w:rsidRPr="00EB0402">
        <w:rPr>
          <w:i/>
          <w:iCs/>
          <w:u w:val="single"/>
        </w:rPr>
        <w:t>non abilitati all’esercizio delle funzioni di ufficiale della riscossione</w:t>
      </w:r>
      <w:r w:rsidRPr="00EB0402">
        <w:rPr>
          <w:i/>
          <w:iCs/>
        </w:rPr>
        <w:t xml:space="preserve">…”  </w:t>
      </w:r>
    </w:p>
    <w:p w14:paraId="32C6F39F" w14:textId="5A3FEAD4" w:rsidR="00605217" w:rsidRDefault="00EB0402" w:rsidP="00C35A01">
      <w:pPr>
        <w:jc w:val="both"/>
      </w:pPr>
      <w:r>
        <w:t xml:space="preserve">Questa rappresenta una caratteristica specifica della procedura speciale che vede la possibilità di </w:t>
      </w:r>
      <w:r w:rsidR="007A44D0">
        <w:t>redigere l’atto</w:t>
      </w:r>
      <w:r w:rsidR="007F0AC0">
        <w:t xml:space="preserve"> di pignoramento anche da </w:t>
      </w:r>
      <w:r>
        <w:t xml:space="preserve">parte di </w:t>
      </w:r>
      <w:r w:rsidR="007F0AC0">
        <w:t>dipendenti dell’Ente non abilitati all</w:t>
      </w:r>
      <w:r w:rsidR="00767A25">
        <w:t>’esercizio delle funzioni di Responsabile della Riscossione. In questo caso l’atto recherà l’indicazione a stampa dello stesso Ente o Agente della Riscossione, senza la necessità della sottoscrizione autografa.</w:t>
      </w:r>
    </w:p>
    <w:p w14:paraId="4C32745E" w14:textId="25DA2125" w:rsidR="00767A25" w:rsidRDefault="00767A25" w:rsidP="00C35A01">
      <w:pPr>
        <w:jc w:val="both"/>
        <w:rPr>
          <w:i/>
          <w:iCs/>
        </w:rPr>
      </w:pPr>
      <w:r>
        <w:t xml:space="preserve">Il comma 2 dell’articolo 72-bis </w:t>
      </w:r>
      <w:r w:rsidR="007A44D0">
        <w:t>prevede infine che</w:t>
      </w:r>
      <w:r>
        <w:t>: “</w:t>
      </w:r>
      <w:r>
        <w:rPr>
          <w:i/>
          <w:iCs/>
        </w:rPr>
        <w:t xml:space="preserve">solo nel caso </w:t>
      </w:r>
      <w:r w:rsidRPr="00767A25">
        <w:rPr>
          <w:i/>
          <w:iCs/>
        </w:rPr>
        <w:t>di inottemperanza all’ordine di pagamento</w:t>
      </w:r>
      <w:r>
        <w:rPr>
          <w:i/>
          <w:iCs/>
        </w:rPr>
        <w:t>, si applicano le disposizioni di cui all’articolo 72, comma 2”</w:t>
      </w:r>
    </w:p>
    <w:p w14:paraId="7E2AC22C" w14:textId="0D53F69C" w:rsidR="00767A25" w:rsidRDefault="00EB0402" w:rsidP="00C35A01">
      <w:pPr>
        <w:jc w:val="both"/>
      </w:pPr>
      <w:r>
        <w:t>Questo comporta che, nel caso di inottemperanza</w:t>
      </w:r>
      <w:r w:rsidR="00767A25">
        <w:t xml:space="preserve"> da parte del terzo, si apre la fase giudiziale, dovendo procedere, previa citazione del terzo intimato e del debitore, secondo le norme previste dal codice di procedura civile per il pignoramento ordinario. Alla fase giudiziale si ricorre </w:t>
      </w:r>
      <w:r>
        <w:t xml:space="preserve">pertanto </w:t>
      </w:r>
      <w:r w:rsidR="00767A25">
        <w:t>solo in caso di inottemperanza da parte del terzo all’ordine di pagamento</w:t>
      </w:r>
      <w:r w:rsidR="007A44D0">
        <w:t>.</w:t>
      </w:r>
    </w:p>
    <w:p w14:paraId="2B1ECF83" w14:textId="3078F078" w:rsidR="007A44D0" w:rsidRDefault="007A44D0" w:rsidP="00C35A01">
      <w:pPr>
        <w:jc w:val="both"/>
      </w:pPr>
      <w:r>
        <w:t>Questa</w:t>
      </w:r>
      <w:r w:rsidR="00A3729F">
        <w:t xml:space="preserve"> </w:t>
      </w:r>
      <w:r>
        <w:t>l’analisi dell’articolo</w:t>
      </w:r>
      <w:r w:rsidR="00B113DE">
        <w:t xml:space="preserve"> 72-bis</w:t>
      </w:r>
      <w:r>
        <w:t>, che apre</w:t>
      </w:r>
      <w:r w:rsidR="00A3729F">
        <w:t>,</w:t>
      </w:r>
      <w:r>
        <w:t xml:space="preserve"> come detto, la possibilità di attivare una procedura speciale con ordine diretto al terzo di pagare a favore dell’agente della riscossione, degli enti locali che hanno attivato la riscossione coattiva in economia</w:t>
      </w:r>
      <w:r w:rsidR="00A3729F">
        <w:t xml:space="preserve">, nonché </w:t>
      </w:r>
      <w:r w:rsidR="00B113DE">
        <w:t>a favore dei</w:t>
      </w:r>
      <w:r>
        <w:t xml:space="preserve"> soggetti iscritti all’Albo dei concessionari di cui all’articolo 52 del D.Lgs 446/97</w:t>
      </w:r>
      <w:r w:rsidR="00A3729F">
        <w:t>.</w:t>
      </w:r>
    </w:p>
    <w:p w14:paraId="04F3B4C1" w14:textId="608C9817" w:rsidR="00B113DE" w:rsidRDefault="007430EF" w:rsidP="00C35A01">
      <w:pPr>
        <w:jc w:val="both"/>
      </w:pPr>
      <w:r>
        <w:t>Sul tema</w:t>
      </w:r>
      <w:r w:rsidR="00B113DE">
        <w:t xml:space="preserve"> è bene precisare che</w:t>
      </w:r>
      <w:r>
        <w:t>,</w:t>
      </w:r>
      <w:r w:rsidR="00B113DE">
        <w:t xml:space="preserve"> n</w:t>
      </w:r>
      <w:r w:rsidR="007A44D0">
        <w:t>ei confronti di questi atti di pignoramento è prevista</w:t>
      </w:r>
      <w:r w:rsidR="00B113DE">
        <w:t>,</w:t>
      </w:r>
      <w:r w:rsidR="007A44D0">
        <w:t xml:space="preserve"> a tutela del contribuente debitore</w:t>
      </w:r>
      <w:r w:rsidR="00B113DE">
        <w:t>,</w:t>
      </w:r>
      <w:r w:rsidR="007A44D0">
        <w:t xml:space="preserve"> la possibilità di fare opposizione</w:t>
      </w:r>
      <w:r w:rsidR="00B113DE">
        <w:t xml:space="preserve">. </w:t>
      </w:r>
      <w:r w:rsidR="00A3729F">
        <w:t>Tuttavia,</w:t>
      </w:r>
      <w:r w:rsidR="007A44D0">
        <w:t xml:space="preserve"> non è sempre stata pacifica l’individuazione del Giudice competente. </w:t>
      </w:r>
      <w:r w:rsidR="006E1D0D">
        <w:t xml:space="preserve">In </w:t>
      </w:r>
      <w:r w:rsidR="00A3729F">
        <w:t>passato, infatti,</w:t>
      </w:r>
      <w:r w:rsidR="00B113DE">
        <w:t xml:space="preserve"> </w:t>
      </w:r>
      <w:r w:rsidR="006E1D0D">
        <w:t xml:space="preserve">si riteneva che la competenza fosse delle Commissioni Tributarie, oggi Corti di Giustizia, considerando l’ordine di pagamento diretto al terzo non come atto espropriativo ma come atto amministrativo, collocato all’interno della fase di riscossione. Oggi </w:t>
      </w:r>
      <w:r w:rsidR="00B113DE">
        <w:t xml:space="preserve">invece </w:t>
      </w:r>
      <w:r w:rsidR="006E1D0D">
        <w:t xml:space="preserve">è orientamento diffuso individuare nel </w:t>
      </w:r>
      <w:r>
        <w:t>T</w:t>
      </w:r>
      <w:r w:rsidR="006E1D0D">
        <w:t xml:space="preserve">ribunale Ordinario, in funzione di Giudice dell’esecuzione, il giudice competente per le </w:t>
      </w:r>
      <w:r w:rsidR="006E1D0D">
        <w:lastRenderedPageBreak/>
        <w:t xml:space="preserve">impugnazioni avverso un atto di pignoramento. Questa soluzione appare la più corretta, </w:t>
      </w:r>
      <w:r w:rsidR="00B113DE">
        <w:t xml:space="preserve">anche </w:t>
      </w:r>
      <w:r w:rsidR="006E1D0D">
        <w:t xml:space="preserve">in considerazione che gli enti possono notificare pignoramenti presso terzi per il recupero di crediti di varia natura e tipologia. Alcuni di natura tributaria (per i Comuni in prevalenza IMU e TARI) altri relativi entrate patrimoniali (esempio Canone Unico patrimoniale e Canone Mercatale) e altri ancora riferiti a sanzioni (esempio le violazioni al Codice della Strada elevate dalla Polizia Municipale). La competenza delle Corti di Giustizia sarebbe </w:t>
      </w:r>
      <w:r w:rsidR="00B113DE">
        <w:t xml:space="preserve">infine </w:t>
      </w:r>
      <w:r w:rsidR="006E1D0D">
        <w:t xml:space="preserve">esclusa </w:t>
      </w:r>
      <w:r w:rsidR="00B113DE">
        <w:t xml:space="preserve">anche </w:t>
      </w:r>
      <w:r>
        <w:t>in quanto</w:t>
      </w:r>
      <w:r w:rsidR="00B113DE">
        <w:t xml:space="preserve"> il pignoramento non rientra nell’elencazione</w:t>
      </w:r>
      <w:r>
        <w:t>,</w:t>
      </w:r>
      <w:r w:rsidR="00B113DE">
        <w:t xml:space="preserve"> </w:t>
      </w:r>
      <w:r>
        <w:t xml:space="preserve">contenuta nell’articolo 19 del D.Lgs 546/92, </w:t>
      </w:r>
      <w:r w:rsidR="00B113DE">
        <w:t>degli atti impugnabili mediante ricorso.</w:t>
      </w:r>
    </w:p>
    <w:p w14:paraId="0CB3A05F" w14:textId="739ED615" w:rsidR="007430EF" w:rsidRDefault="007430EF" w:rsidP="00C35A01">
      <w:pPr>
        <w:jc w:val="both"/>
        <w:rPr>
          <w:rFonts w:ascii="Calibri" w:hAnsi="Calibri" w:cs="Calibri"/>
          <w:color w:val="000000"/>
          <w:shd w:val="clear" w:color="auto" w:fill="FFFFFF"/>
        </w:rPr>
      </w:pPr>
      <w:r>
        <w:t>Quali sono le</w:t>
      </w:r>
      <w:r>
        <w:rPr>
          <w:rFonts w:ascii="Calibri" w:hAnsi="Calibri" w:cs="Calibri"/>
          <w:color w:val="000000"/>
          <w:shd w:val="clear" w:color="auto" w:fill="FFFFFF"/>
        </w:rPr>
        <w:t xml:space="preserve"> tipologie più diffuse di pignoramento presso terzi utilizzate </w:t>
      </w:r>
      <w:r w:rsidR="00F53054">
        <w:rPr>
          <w:rFonts w:ascii="Calibri" w:hAnsi="Calibri" w:cs="Calibri"/>
          <w:color w:val="000000"/>
          <w:shd w:val="clear" w:color="auto" w:fill="FFFFFF"/>
        </w:rPr>
        <w:t xml:space="preserve">dagli enti locali e in particolare </w:t>
      </w:r>
      <w:r>
        <w:rPr>
          <w:rFonts w:ascii="Calibri" w:hAnsi="Calibri" w:cs="Calibri"/>
          <w:color w:val="000000"/>
          <w:shd w:val="clear" w:color="auto" w:fill="FFFFFF"/>
        </w:rPr>
        <w:t>dai Comuni che procedono in autonomia?</w:t>
      </w:r>
    </w:p>
    <w:p w14:paraId="155EF32A" w14:textId="77777777" w:rsidR="00C4764A" w:rsidRDefault="007430EF"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L’attenzione degli uffici si è focalizzata ad attivare la procedura speciale dell’articolo 72-bis in particolare su pignoramento dei conti correnti bancari e sui redditi da lavoro dipendente. Sono queste </w:t>
      </w:r>
      <w:r w:rsidR="00C4764A">
        <w:rPr>
          <w:rFonts w:ascii="Calibri" w:hAnsi="Calibri" w:cs="Calibri"/>
          <w:color w:val="000000"/>
          <w:shd w:val="clear" w:color="auto" w:fill="FFFFFF"/>
        </w:rPr>
        <w:t>indubbiamente</w:t>
      </w:r>
      <w:r>
        <w:rPr>
          <w:rFonts w:ascii="Calibri" w:hAnsi="Calibri" w:cs="Calibri"/>
          <w:color w:val="000000"/>
          <w:shd w:val="clear" w:color="auto" w:fill="FFFFFF"/>
        </w:rPr>
        <w:t xml:space="preserve"> le </w:t>
      </w:r>
      <w:r w:rsidR="00C4764A">
        <w:rPr>
          <w:rFonts w:ascii="Calibri" w:hAnsi="Calibri" w:cs="Calibri"/>
          <w:color w:val="000000"/>
          <w:shd w:val="clear" w:color="auto" w:fill="FFFFFF"/>
        </w:rPr>
        <w:t xml:space="preserve">due </w:t>
      </w:r>
      <w:r>
        <w:rPr>
          <w:rFonts w:ascii="Calibri" w:hAnsi="Calibri" w:cs="Calibri"/>
          <w:color w:val="000000"/>
          <w:shd w:val="clear" w:color="auto" w:fill="FFFFFF"/>
        </w:rPr>
        <w:t xml:space="preserve">tipologie </w:t>
      </w:r>
      <w:r w:rsidR="00C4764A">
        <w:rPr>
          <w:rFonts w:ascii="Calibri" w:hAnsi="Calibri" w:cs="Calibri"/>
          <w:color w:val="000000"/>
          <w:shd w:val="clear" w:color="auto" w:fill="FFFFFF"/>
        </w:rPr>
        <w:t>più seguite per raggiungere il soddisfacimento dei propri crediti.</w:t>
      </w:r>
    </w:p>
    <w:p w14:paraId="6928640F" w14:textId="3D7CF823" w:rsidR="007A44D0" w:rsidRDefault="00C4764A"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Per quanto riguarda il pignoramento dello stipendio la banca dati a cui fare riferimento è </w:t>
      </w:r>
      <w:r w:rsidR="00F53054">
        <w:rPr>
          <w:rFonts w:ascii="Calibri" w:hAnsi="Calibri" w:cs="Calibri"/>
          <w:color w:val="000000"/>
          <w:shd w:val="clear" w:color="auto" w:fill="FFFFFF"/>
        </w:rPr>
        <w:t xml:space="preserve">senz’altro </w:t>
      </w:r>
      <w:r>
        <w:rPr>
          <w:rFonts w:ascii="Calibri" w:hAnsi="Calibri" w:cs="Calibri"/>
          <w:color w:val="000000"/>
          <w:shd w:val="clear" w:color="auto" w:fill="FFFFFF"/>
        </w:rPr>
        <w:t>Siatel, il sistema informatico dell’Agenzia delle Entrate</w:t>
      </w:r>
      <w:r w:rsidR="00F53054">
        <w:rPr>
          <w:rFonts w:ascii="Calibri" w:hAnsi="Calibri" w:cs="Calibri"/>
          <w:color w:val="000000"/>
          <w:shd w:val="clear" w:color="auto" w:fill="FFFFFF"/>
        </w:rPr>
        <w:t>,</w:t>
      </w:r>
      <w:r>
        <w:rPr>
          <w:rFonts w:ascii="Calibri" w:hAnsi="Calibri" w:cs="Calibri"/>
          <w:color w:val="000000"/>
          <w:shd w:val="clear" w:color="auto" w:fill="FFFFFF"/>
        </w:rPr>
        <w:t xml:space="preserve"> a cui anche gli Enti locali hanno accesso</w:t>
      </w:r>
      <w:r w:rsidR="00F53054">
        <w:rPr>
          <w:rFonts w:ascii="Calibri" w:hAnsi="Calibri" w:cs="Calibri"/>
          <w:color w:val="000000"/>
          <w:shd w:val="clear" w:color="auto" w:fill="FFFFFF"/>
        </w:rPr>
        <w:t>,</w:t>
      </w:r>
      <w:r>
        <w:rPr>
          <w:rFonts w:ascii="Calibri" w:hAnsi="Calibri" w:cs="Calibri"/>
          <w:color w:val="000000"/>
          <w:shd w:val="clear" w:color="auto" w:fill="FFFFFF"/>
        </w:rPr>
        <w:t xml:space="preserve"> dal quale verificare</w:t>
      </w:r>
      <w:r w:rsidR="002C1C4F">
        <w:rPr>
          <w:rFonts w:ascii="Calibri" w:hAnsi="Calibri" w:cs="Calibri"/>
          <w:color w:val="000000"/>
          <w:shd w:val="clear" w:color="auto" w:fill="FFFFFF"/>
        </w:rPr>
        <w:t xml:space="preserve">, per ciascun </w:t>
      </w:r>
      <w:r w:rsidR="00AB48CB">
        <w:rPr>
          <w:rFonts w:ascii="Calibri" w:hAnsi="Calibri" w:cs="Calibri"/>
          <w:color w:val="000000"/>
          <w:shd w:val="clear" w:color="auto" w:fill="FFFFFF"/>
        </w:rPr>
        <w:t>debitore, i</w:t>
      </w:r>
      <w:r>
        <w:rPr>
          <w:rFonts w:ascii="Calibri" w:hAnsi="Calibri" w:cs="Calibri"/>
          <w:color w:val="000000"/>
          <w:shd w:val="clear" w:color="auto" w:fill="FFFFFF"/>
        </w:rPr>
        <w:t xml:space="preserve"> redditi percepiti e la loro provenienza. </w:t>
      </w:r>
      <w:r w:rsidR="00F53054">
        <w:rPr>
          <w:rFonts w:ascii="Calibri" w:hAnsi="Calibri" w:cs="Calibri"/>
          <w:color w:val="000000"/>
          <w:shd w:val="clear" w:color="auto" w:fill="FFFFFF"/>
        </w:rPr>
        <w:t xml:space="preserve">Dal sistema </w:t>
      </w:r>
      <w:r w:rsidR="002C1C4F">
        <w:rPr>
          <w:rFonts w:ascii="Calibri" w:hAnsi="Calibri" w:cs="Calibri"/>
          <w:color w:val="000000"/>
          <w:shd w:val="clear" w:color="auto" w:fill="FFFFFF"/>
        </w:rPr>
        <w:t>informatico si</w:t>
      </w:r>
      <w:r w:rsidR="00F53054">
        <w:rPr>
          <w:rFonts w:ascii="Calibri" w:hAnsi="Calibri" w:cs="Calibri"/>
          <w:color w:val="000000"/>
          <w:shd w:val="clear" w:color="auto" w:fill="FFFFFF"/>
        </w:rPr>
        <w:t xml:space="preserve"> potrà </w:t>
      </w:r>
      <w:r w:rsidR="002C1C4F">
        <w:rPr>
          <w:rFonts w:ascii="Calibri" w:hAnsi="Calibri" w:cs="Calibri"/>
          <w:color w:val="000000"/>
          <w:shd w:val="clear" w:color="auto" w:fill="FFFFFF"/>
        </w:rPr>
        <w:t>acquisire</w:t>
      </w:r>
      <w:r w:rsidR="00F53054">
        <w:rPr>
          <w:rFonts w:ascii="Calibri" w:hAnsi="Calibri" w:cs="Calibri"/>
          <w:color w:val="000000"/>
          <w:shd w:val="clear" w:color="auto" w:fill="FFFFFF"/>
        </w:rPr>
        <w:t xml:space="preserve"> il datore di lavoro, che sarà il destinatario dell’ordine di pagare direttamente all’amministrazione procedente.</w:t>
      </w:r>
    </w:p>
    <w:p w14:paraId="7C9C56A9" w14:textId="77777777" w:rsidR="00846699" w:rsidRDefault="00F53054"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Per quanto riguarda il pignoramento dei conti correnti bancari invece non è stata ancora </w:t>
      </w:r>
      <w:r w:rsidR="00A72837">
        <w:rPr>
          <w:rFonts w:ascii="Calibri" w:hAnsi="Calibri" w:cs="Calibri"/>
          <w:color w:val="000000"/>
          <w:shd w:val="clear" w:color="auto" w:fill="FFFFFF"/>
        </w:rPr>
        <w:t>concessa</w:t>
      </w:r>
      <w:r>
        <w:rPr>
          <w:rFonts w:ascii="Calibri" w:hAnsi="Calibri" w:cs="Calibri"/>
          <w:color w:val="000000"/>
          <w:shd w:val="clear" w:color="auto" w:fill="FFFFFF"/>
        </w:rPr>
        <w:t xml:space="preserve"> la possibilità agli enti locali di accedere direttamente </w:t>
      </w:r>
      <w:r w:rsidR="00A72837">
        <w:rPr>
          <w:rFonts w:ascii="Calibri" w:hAnsi="Calibri" w:cs="Calibri"/>
          <w:color w:val="000000"/>
          <w:shd w:val="clear" w:color="auto" w:fill="FFFFFF"/>
        </w:rPr>
        <w:t>alle</w:t>
      </w:r>
      <w:r>
        <w:rPr>
          <w:rFonts w:ascii="Calibri" w:hAnsi="Calibri" w:cs="Calibri"/>
          <w:color w:val="000000"/>
          <w:shd w:val="clear" w:color="auto" w:fill="FFFFFF"/>
        </w:rPr>
        <w:t xml:space="preserve"> informazioni, così che dovrà essere attivata una procedura “ad ombrello”, andando a notificare l’atto di pignoramento </w:t>
      </w:r>
      <w:r w:rsidR="00A72837">
        <w:rPr>
          <w:rFonts w:ascii="Calibri" w:hAnsi="Calibri" w:cs="Calibri"/>
          <w:color w:val="000000"/>
          <w:shd w:val="clear" w:color="auto" w:fill="FFFFFF"/>
        </w:rPr>
        <w:t xml:space="preserve">ad una serie di istituti di credito presenti nel territorio, aspettandosi </w:t>
      </w:r>
      <w:r w:rsidR="00846699">
        <w:rPr>
          <w:rFonts w:ascii="Calibri" w:hAnsi="Calibri" w:cs="Calibri"/>
          <w:color w:val="000000"/>
          <w:shd w:val="clear" w:color="auto" w:fill="FFFFFF"/>
        </w:rPr>
        <w:t xml:space="preserve">di conseguenza </w:t>
      </w:r>
      <w:r w:rsidR="00AB48CB">
        <w:rPr>
          <w:rFonts w:ascii="Calibri" w:hAnsi="Calibri" w:cs="Calibri"/>
          <w:color w:val="000000"/>
          <w:shd w:val="clear" w:color="auto" w:fill="FFFFFF"/>
        </w:rPr>
        <w:t xml:space="preserve">di ricevere </w:t>
      </w:r>
      <w:r w:rsidR="00A72837">
        <w:rPr>
          <w:rFonts w:ascii="Calibri" w:hAnsi="Calibri" w:cs="Calibri"/>
          <w:color w:val="000000"/>
          <w:shd w:val="clear" w:color="auto" w:fill="FFFFFF"/>
        </w:rPr>
        <w:t xml:space="preserve">una serie di </w:t>
      </w:r>
      <w:r w:rsidR="00AB48CB">
        <w:rPr>
          <w:rFonts w:ascii="Calibri" w:hAnsi="Calibri" w:cs="Calibri"/>
          <w:color w:val="000000"/>
          <w:shd w:val="clear" w:color="auto" w:fill="FFFFFF"/>
        </w:rPr>
        <w:t>risposte</w:t>
      </w:r>
      <w:r w:rsidR="00A72837">
        <w:rPr>
          <w:rFonts w:ascii="Calibri" w:hAnsi="Calibri" w:cs="Calibri"/>
          <w:color w:val="000000"/>
          <w:shd w:val="clear" w:color="auto" w:fill="FFFFFF"/>
        </w:rPr>
        <w:t xml:space="preserve"> negativ</w:t>
      </w:r>
      <w:r w:rsidR="00AB48CB">
        <w:rPr>
          <w:rFonts w:ascii="Calibri" w:hAnsi="Calibri" w:cs="Calibri"/>
          <w:color w:val="000000"/>
          <w:shd w:val="clear" w:color="auto" w:fill="FFFFFF"/>
        </w:rPr>
        <w:t>e</w:t>
      </w:r>
      <w:r w:rsidR="00A72837">
        <w:rPr>
          <w:rFonts w:ascii="Calibri" w:hAnsi="Calibri" w:cs="Calibri"/>
          <w:color w:val="000000"/>
          <w:shd w:val="clear" w:color="auto" w:fill="FFFFFF"/>
        </w:rPr>
        <w:t>, res</w:t>
      </w:r>
      <w:r w:rsidR="00AB48CB">
        <w:rPr>
          <w:rFonts w:ascii="Calibri" w:hAnsi="Calibri" w:cs="Calibri"/>
          <w:color w:val="000000"/>
          <w:shd w:val="clear" w:color="auto" w:fill="FFFFFF"/>
        </w:rPr>
        <w:t>e</w:t>
      </w:r>
      <w:r w:rsidR="00A72837">
        <w:rPr>
          <w:rFonts w:ascii="Calibri" w:hAnsi="Calibri" w:cs="Calibri"/>
          <w:color w:val="000000"/>
          <w:shd w:val="clear" w:color="auto" w:fill="FFFFFF"/>
        </w:rPr>
        <w:t xml:space="preserve"> a mezzo della dichiarazione stragiudiziale di terzo, e almeno una risposta positiva.</w:t>
      </w:r>
      <w:r w:rsidR="00C440CA">
        <w:rPr>
          <w:rFonts w:ascii="Calibri" w:hAnsi="Calibri" w:cs="Calibri"/>
          <w:color w:val="000000"/>
          <w:shd w:val="clear" w:color="auto" w:fill="FFFFFF"/>
        </w:rPr>
        <w:t xml:space="preserve"> </w:t>
      </w:r>
    </w:p>
    <w:p w14:paraId="55823A87" w14:textId="4BA94D4C" w:rsidR="00F53054" w:rsidRDefault="00C440CA" w:rsidP="00C35A01">
      <w:pPr>
        <w:jc w:val="both"/>
        <w:rPr>
          <w:spacing w:val="-6"/>
        </w:rPr>
      </w:pPr>
      <w:r>
        <w:rPr>
          <w:rFonts w:ascii="Calibri" w:hAnsi="Calibri" w:cs="Calibri"/>
          <w:color w:val="000000"/>
          <w:shd w:val="clear" w:color="auto" w:fill="FFFFFF"/>
        </w:rPr>
        <w:t>Gli istituti bancari provvederanno</w:t>
      </w:r>
      <w:r w:rsidR="00846699">
        <w:rPr>
          <w:rFonts w:ascii="Calibri" w:hAnsi="Calibri" w:cs="Calibri"/>
          <w:color w:val="000000"/>
          <w:shd w:val="clear" w:color="auto" w:fill="FFFFFF"/>
        </w:rPr>
        <w:t xml:space="preserve"> quindi</w:t>
      </w:r>
      <w:r>
        <w:rPr>
          <w:rFonts w:ascii="Calibri" w:hAnsi="Calibri" w:cs="Calibri"/>
          <w:color w:val="000000"/>
          <w:shd w:val="clear" w:color="auto" w:fill="FFFFFF"/>
        </w:rPr>
        <w:t xml:space="preserve">, </w:t>
      </w:r>
      <w:r>
        <w:t>nel caso non vi fossero debiti nei confronti del debitore esecutato, o impedimenti a eseguire quanto</w:t>
      </w:r>
      <w:r>
        <w:rPr>
          <w:spacing w:val="1"/>
        </w:rPr>
        <w:t xml:space="preserve"> </w:t>
      </w:r>
      <w:r>
        <w:rPr>
          <w:spacing w:val="-6"/>
        </w:rPr>
        <w:t xml:space="preserve">ordinato, a trasmettere </w:t>
      </w:r>
      <w:r>
        <w:rPr>
          <w:spacing w:val="-5"/>
        </w:rPr>
        <w:t>la</w:t>
      </w:r>
      <w:r>
        <w:rPr>
          <w:spacing w:val="-16"/>
        </w:rPr>
        <w:t xml:space="preserve"> </w:t>
      </w:r>
      <w:r>
        <w:rPr>
          <w:spacing w:val="-5"/>
        </w:rPr>
        <w:t xml:space="preserve">dichiarazione </w:t>
      </w:r>
      <w:r>
        <w:rPr>
          <w:spacing w:val="-57"/>
        </w:rPr>
        <w:t xml:space="preserve"> </w:t>
      </w:r>
      <w:r>
        <w:rPr>
          <w:spacing w:val="-6"/>
        </w:rPr>
        <w:t>stragiudiziale</w:t>
      </w:r>
      <w:r>
        <w:rPr>
          <w:spacing w:val="-12"/>
        </w:rPr>
        <w:t xml:space="preserve"> </w:t>
      </w:r>
      <w:r>
        <w:rPr>
          <w:spacing w:val="-6"/>
        </w:rPr>
        <w:t>di</w:t>
      </w:r>
      <w:r>
        <w:rPr>
          <w:spacing w:val="-11"/>
        </w:rPr>
        <w:t xml:space="preserve"> </w:t>
      </w:r>
      <w:r>
        <w:rPr>
          <w:spacing w:val="-6"/>
        </w:rPr>
        <w:t>terzo resa ai sensi dell’articolo 75-bis del DPR 602/73.</w:t>
      </w:r>
    </w:p>
    <w:p w14:paraId="04255592" w14:textId="77777777" w:rsidR="00A04922" w:rsidRDefault="00C440CA" w:rsidP="00C35A01">
      <w:pPr>
        <w:jc w:val="both"/>
        <w:rPr>
          <w:i/>
          <w:iCs/>
          <w:spacing w:val="-6"/>
        </w:rPr>
      </w:pPr>
      <w:r>
        <w:rPr>
          <w:spacing w:val="-6"/>
        </w:rPr>
        <w:t>La norma prevede la facoltà dell’ente procedente di richiedere la dichiarazione di cui all’articolo 75-bis, nella quale il soggetto terzo dovrà indicare per iscritto le cose e le somme dovute al contribuente debitore. La dichiarazione si pon</w:t>
      </w:r>
      <w:r w:rsidR="00846699">
        <w:rPr>
          <w:spacing w:val="-6"/>
        </w:rPr>
        <w:t>e generalmente come fase intermedia tra l’inizio della riscossione e il pignoramento, anche se la norma precisa che può essere richiesta anche simultaneamente all’attivazione della procedura esecutiva. L’articolo 75-bis prevede infatti: “</w:t>
      </w:r>
      <w:r w:rsidR="00846699" w:rsidRPr="00846699">
        <w:rPr>
          <w:i/>
          <w:iCs/>
          <w:spacing w:val="-6"/>
        </w:rPr>
        <w:t>l’agente della riscossione, prima di procedere ai sensi degli articolo 72 e 72-bis</w:t>
      </w:r>
      <w:r w:rsidR="00846699">
        <w:rPr>
          <w:i/>
          <w:iCs/>
          <w:spacing w:val="-6"/>
        </w:rPr>
        <w:t>… ed anche simultaneamente all’adozione delle azioni esecutive e cautelari previste nel presente decreto</w:t>
      </w:r>
      <w:r w:rsidR="00846699" w:rsidRPr="00846699">
        <w:rPr>
          <w:i/>
          <w:iCs/>
          <w:spacing w:val="-6"/>
        </w:rPr>
        <w:t>, può chiedere a soggetti terzi, debitori del soggetto che è iscritto a ruolo o dei coobbligati, di indicare per iscritto</w:t>
      </w:r>
      <w:r w:rsidR="00846699">
        <w:rPr>
          <w:i/>
          <w:iCs/>
          <w:spacing w:val="-6"/>
        </w:rPr>
        <w:t>, ove possibile  in modo dettagliato, le cose e le somme da loro dovute al creditore.</w:t>
      </w:r>
      <w:r w:rsidR="00A04922">
        <w:rPr>
          <w:i/>
          <w:iCs/>
          <w:spacing w:val="-6"/>
        </w:rPr>
        <w:t>”</w:t>
      </w:r>
    </w:p>
    <w:p w14:paraId="0E0C1A90" w14:textId="1162B310" w:rsidR="00C440CA" w:rsidRDefault="00A04922" w:rsidP="00C35A01">
      <w:pPr>
        <w:jc w:val="both"/>
        <w:rPr>
          <w:rFonts w:ascii="Calibri" w:hAnsi="Calibri" w:cs="Calibri"/>
          <w:color w:val="000000"/>
          <w:shd w:val="clear" w:color="auto" w:fill="FFFFFF"/>
        </w:rPr>
      </w:pPr>
      <w:r>
        <w:rPr>
          <w:spacing w:val="-6"/>
        </w:rPr>
        <w:t>L’azione simultanea diventa fondamentale quando ad essere pignorate sono somme a disposizione del debitore su un conto corrente bancario, in questo caso la tempestività e la simultaneità dell’azione si rendono necessari per evitare distrazioni di somme dal conto che si intende pignorare.</w:t>
      </w:r>
      <w:r w:rsidR="00846699">
        <w:rPr>
          <w:spacing w:val="-6"/>
        </w:rPr>
        <w:t xml:space="preserve"> </w:t>
      </w:r>
    </w:p>
    <w:p w14:paraId="0FF7323D" w14:textId="7E5A11CB" w:rsidR="00A72837" w:rsidRDefault="00AB48CB" w:rsidP="00C35A01">
      <w:pPr>
        <w:jc w:val="both"/>
        <w:rPr>
          <w:rFonts w:ascii="Calibri" w:hAnsi="Calibri" w:cs="Calibri"/>
          <w:color w:val="000000"/>
          <w:shd w:val="clear" w:color="auto" w:fill="FFFFFF"/>
        </w:rPr>
      </w:pPr>
      <w:r>
        <w:rPr>
          <w:rFonts w:ascii="Calibri" w:hAnsi="Calibri" w:cs="Calibri"/>
          <w:color w:val="000000"/>
          <w:shd w:val="clear" w:color="auto" w:fill="FFFFFF"/>
        </w:rPr>
        <w:t>La</w:t>
      </w:r>
      <w:r w:rsidR="00A72837">
        <w:rPr>
          <w:rFonts w:ascii="Calibri" w:hAnsi="Calibri" w:cs="Calibri"/>
          <w:color w:val="000000"/>
          <w:shd w:val="clear" w:color="auto" w:fill="FFFFFF"/>
        </w:rPr>
        <w:t xml:space="preserve"> procedur</w:t>
      </w:r>
      <w:r w:rsidR="00A04922">
        <w:rPr>
          <w:rFonts w:ascii="Calibri" w:hAnsi="Calibri" w:cs="Calibri"/>
          <w:color w:val="000000"/>
          <w:shd w:val="clear" w:color="auto" w:fill="FFFFFF"/>
        </w:rPr>
        <w:t xml:space="preserve">a di pignoramento bancario, </w:t>
      </w:r>
      <w:r w:rsidR="00A72837">
        <w:rPr>
          <w:rFonts w:ascii="Calibri" w:hAnsi="Calibri" w:cs="Calibri"/>
          <w:color w:val="000000"/>
          <w:shd w:val="clear" w:color="auto" w:fill="FFFFFF"/>
        </w:rPr>
        <w:t xml:space="preserve"> </w:t>
      </w:r>
      <w:r>
        <w:rPr>
          <w:rFonts w:ascii="Calibri" w:hAnsi="Calibri" w:cs="Calibri"/>
          <w:color w:val="000000"/>
          <w:shd w:val="clear" w:color="auto" w:fill="FFFFFF"/>
        </w:rPr>
        <w:t>nello specifico</w:t>
      </w:r>
      <w:r w:rsidR="00A72837">
        <w:rPr>
          <w:rFonts w:ascii="Calibri" w:hAnsi="Calibri" w:cs="Calibri"/>
          <w:color w:val="000000"/>
          <w:shd w:val="clear" w:color="auto" w:fill="FFFFFF"/>
        </w:rPr>
        <w:t xml:space="preserve"> potrà essere organizzata attivando una serie di notifiche a mezzo pec. In sostanza lo stesso atto di pignoramento rivolto al debitore, andrà a chiamare in causa i diversi istituti bancari quali soggetti terzi, che dovranno nel termine di 60 giorni procedere all’ordine o rendere la dichiarazione di estraneità di rapporti con il nostro debitore. </w:t>
      </w:r>
    </w:p>
    <w:p w14:paraId="63CD2733" w14:textId="2A971210" w:rsidR="00A72837" w:rsidRDefault="00A72837"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Una procedura piuttosto impegnativa che necessita di una organizzazione informatica per la gestione degli invii e </w:t>
      </w:r>
      <w:r w:rsidR="00AB48CB">
        <w:rPr>
          <w:rFonts w:ascii="Calibri" w:hAnsi="Calibri" w:cs="Calibri"/>
          <w:color w:val="000000"/>
          <w:shd w:val="clear" w:color="auto" w:fill="FFFFFF"/>
        </w:rPr>
        <w:t xml:space="preserve">soprattutto </w:t>
      </w:r>
      <w:r>
        <w:rPr>
          <w:rFonts w:ascii="Calibri" w:hAnsi="Calibri" w:cs="Calibri"/>
          <w:color w:val="000000"/>
          <w:shd w:val="clear" w:color="auto" w:fill="FFFFFF"/>
        </w:rPr>
        <w:t>dei ritorni</w:t>
      </w:r>
      <w:r w:rsidR="000D21EE">
        <w:rPr>
          <w:rFonts w:ascii="Calibri" w:hAnsi="Calibri" w:cs="Calibri"/>
          <w:color w:val="000000"/>
          <w:shd w:val="clear" w:color="auto" w:fill="FFFFFF"/>
        </w:rPr>
        <w:t>, ma che può dare risultati importanti per gli effetti che scaturisce.</w:t>
      </w:r>
    </w:p>
    <w:p w14:paraId="7D906145" w14:textId="427507FD" w:rsidR="006C4455" w:rsidRDefault="000D21EE"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Entrambe queste procedure garantiscono </w:t>
      </w:r>
      <w:r w:rsidR="006C4455">
        <w:rPr>
          <w:rFonts w:ascii="Calibri" w:hAnsi="Calibri" w:cs="Calibri"/>
          <w:color w:val="000000"/>
          <w:shd w:val="clear" w:color="auto" w:fill="FFFFFF"/>
        </w:rPr>
        <w:t xml:space="preserve">infatti </w:t>
      </w:r>
      <w:r>
        <w:rPr>
          <w:rFonts w:ascii="Calibri" w:hAnsi="Calibri" w:cs="Calibri"/>
          <w:color w:val="000000"/>
          <w:shd w:val="clear" w:color="auto" w:fill="FFFFFF"/>
        </w:rPr>
        <w:t>un impatto forte nel percorso di riscossione coattiva, sono azioni che incidono pesantemente sull</w:t>
      </w:r>
      <w:r w:rsidR="006C4455">
        <w:rPr>
          <w:rFonts w:ascii="Calibri" w:hAnsi="Calibri" w:cs="Calibri"/>
          <w:color w:val="000000"/>
          <w:shd w:val="clear" w:color="auto" w:fill="FFFFFF"/>
        </w:rPr>
        <w:t>a</w:t>
      </w:r>
      <w:r>
        <w:rPr>
          <w:rFonts w:ascii="Calibri" w:hAnsi="Calibri" w:cs="Calibri"/>
          <w:color w:val="000000"/>
          <w:shd w:val="clear" w:color="auto" w:fill="FFFFFF"/>
        </w:rPr>
        <w:t xml:space="preserve"> situazion</w:t>
      </w:r>
      <w:r w:rsidR="006C4455">
        <w:rPr>
          <w:rFonts w:ascii="Calibri" w:hAnsi="Calibri" w:cs="Calibri"/>
          <w:color w:val="000000"/>
          <w:shd w:val="clear" w:color="auto" w:fill="FFFFFF"/>
        </w:rPr>
        <w:t>e</w:t>
      </w:r>
      <w:r>
        <w:rPr>
          <w:rFonts w:ascii="Calibri" w:hAnsi="Calibri" w:cs="Calibri"/>
          <w:color w:val="000000"/>
          <w:shd w:val="clear" w:color="auto" w:fill="FFFFFF"/>
        </w:rPr>
        <w:t xml:space="preserve"> redditual</w:t>
      </w:r>
      <w:r w:rsidR="006C4455">
        <w:rPr>
          <w:rFonts w:ascii="Calibri" w:hAnsi="Calibri" w:cs="Calibri"/>
          <w:color w:val="000000"/>
          <w:shd w:val="clear" w:color="auto" w:fill="FFFFFF"/>
        </w:rPr>
        <w:t>e</w:t>
      </w:r>
      <w:r>
        <w:rPr>
          <w:rFonts w:ascii="Calibri" w:hAnsi="Calibri" w:cs="Calibri"/>
          <w:color w:val="000000"/>
          <w:shd w:val="clear" w:color="auto" w:fill="FFFFFF"/>
        </w:rPr>
        <w:t xml:space="preserve"> del debitore che, a differenza di al</w:t>
      </w:r>
      <w:r w:rsidR="006C4455">
        <w:rPr>
          <w:rFonts w:ascii="Calibri" w:hAnsi="Calibri" w:cs="Calibri"/>
          <w:color w:val="000000"/>
          <w:shd w:val="clear" w:color="auto" w:fill="FFFFFF"/>
        </w:rPr>
        <w:t>t</w:t>
      </w:r>
      <w:r>
        <w:rPr>
          <w:rFonts w:ascii="Calibri" w:hAnsi="Calibri" w:cs="Calibri"/>
          <w:color w:val="000000"/>
          <w:shd w:val="clear" w:color="auto" w:fill="FFFFFF"/>
        </w:rPr>
        <w:t>re azioni</w:t>
      </w:r>
      <w:r w:rsidR="00AB48CB">
        <w:rPr>
          <w:rFonts w:ascii="Calibri" w:hAnsi="Calibri" w:cs="Calibri"/>
          <w:color w:val="000000"/>
          <w:shd w:val="clear" w:color="auto" w:fill="FFFFFF"/>
        </w:rPr>
        <w:t>,</w:t>
      </w:r>
      <w:r>
        <w:rPr>
          <w:rFonts w:ascii="Calibri" w:hAnsi="Calibri" w:cs="Calibri"/>
          <w:color w:val="000000"/>
          <w:shd w:val="clear" w:color="auto" w:fill="FFFFFF"/>
        </w:rPr>
        <w:t xml:space="preserve"> </w:t>
      </w:r>
      <w:r w:rsidR="006C4455">
        <w:rPr>
          <w:rFonts w:ascii="Calibri" w:hAnsi="Calibri" w:cs="Calibri"/>
          <w:color w:val="000000"/>
          <w:shd w:val="clear" w:color="auto" w:fill="FFFFFF"/>
        </w:rPr>
        <w:lastRenderedPageBreak/>
        <w:t xml:space="preserve">vede </w:t>
      </w:r>
      <w:r w:rsidR="00AB48CB">
        <w:rPr>
          <w:rFonts w:ascii="Calibri" w:hAnsi="Calibri" w:cs="Calibri"/>
          <w:color w:val="000000"/>
          <w:shd w:val="clear" w:color="auto" w:fill="FFFFFF"/>
        </w:rPr>
        <w:t xml:space="preserve">direttamente erosa </w:t>
      </w:r>
      <w:r w:rsidR="006C4455">
        <w:rPr>
          <w:rFonts w:ascii="Calibri" w:hAnsi="Calibri" w:cs="Calibri"/>
          <w:color w:val="000000"/>
          <w:shd w:val="clear" w:color="auto" w:fill="FFFFFF"/>
        </w:rPr>
        <w:t>la sua disponibilità finanziari</w:t>
      </w:r>
      <w:r w:rsidR="00AB48CB">
        <w:rPr>
          <w:rFonts w:ascii="Calibri" w:hAnsi="Calibri" w:cs="Calibri"/>
          <w:color w:val="000000"/>
          <w:shd w:val="clear" w:color="auto" w:fill="FFFFFF"/>
        </w:rPr>
        <w:t>a,</w:t>
      </w:r>
      <w:r w:rsidR="006C4455">
        <w:rPr>
          <w:rFonts w:ascii="Calibri" w:hAnsi="Calibri" w:cs="Calibri"/>
          <w:color w:val="000000"/>
          <w:shd w:val="clear" w:color="auto" w:fill="FFFFFF"/>
        </w:rPr>
        <w:t xml:space="preserve"> aggredit</w:t>
      </w:r>
      <w:r w:rsidR="00AB48CB">
        <w:rPr>
          <w:rFonts w:ascii="Calibri" w:hAnsi="Calibri" w:cs="Calibri"/>
          <w:color w:val="000000"/>
          <w:shd w:val="clear" w:color="auto" w:fill="FFFFFF"/>
        </w:rPr>
        <w:t xml:space="preserve">a con la procedura speciale prevista dall’articolo 72-bis, </w:t>
      </w:r>
      <w:r w:rsidR="006C4455">
        <w:rPr>
          <w:rFonts w:ascii="Calibri" w:hAnsi="Calibri" w:cs="Calibri"/>
          <w:color w:val="000000"/>
          <w:shd w:val="clear" w:color="auto" w:fill="FFFFFF"/>
        </w:rPr>
        <w:t xml:space="preserve"> per il pagamento dei debiti maturati con la Pubblica Amministrazione.</w:t>
      </w:r>
    </w:p>
    <w:p w14:paraId="6E1BCD8B" w14:textId="11657D9B" w:rsidR="000D21EE" w:rsidRPr="007430EF" w:rsidRDefault="000D21EE" w:rsidP="00C35A01">
      <w:pPr>
        <w:jc w:val="both"/>
        <w:rPr>
          <w:rFonts w:ascii="Calibri" w:hAnsi="Calibri" w:cs="Calibri"/>
          <w:color w:val="000000"/>
          <w:shd w:val="clear" w:color="auto" w:fill="FFFFFF"/>
        </w:rPr>
      </w:pPr>
      <w:r>
        <w:rPr>
          <w:rFonts w:ascii="Calibri" w:hAnsi="Calibri" w:cs="Calibri"/>
          <w:color w:val="000000"/>
          <w:shd w:val="clear" w:color="auto" w:fill="FFFFFF"/>
        </w:rPr>
        <w:t xml:space="preserve"> </w:t>
      </w:r>
    </w:p>
    <w:p w14:paraId="02FF2ABC" w14:textId="77777777" w:rsidR="00EB0402" w:rsidRPr="00F146DC" w:rsidRDefault="00EB0402" w:rsidP="00C35A01">
      <w:pPr>
        <w:jc w:val="both"/>
      </w:pPr>
    </w:p>
    <w:p w14:paraId="08D9FD65" w14:textId="77777777" w:rsidR="00F146DC" w:rsidRPr="00F146DC" w:rsidRDefault="00F146DC" w:rsidP="00C35A01">
      <w:pPr>
        <w:jc w:val="both"/>
        <w:rPr>
          <w:i/>
          <w:iCs/>
        </w:rPr>
      </w:pPr>
    </w:p>
    <w:p w14:paraId="0FEE0549" w14:textId="77777777" w:rsidR="00D006C3" w:rsidRDefault="00D006C3" w:rsidP="00C35A01">
      <w:pPr>
        <w:jc w:val="both"/>
      </w:pPr>
    </w:p>
    <w:p w14:paraId="1F4C0A44" w14:textId="77777777" w:rsidR="00717AF1" w:rsidRDefault="00717AF1" w:rsidP="00C35A01">
      <w:pPr>
        <w:jc w:val="both"/>
      </w:pPr>
    </w:p>
    <w:sectPr w:rsidR="00717AF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A72ED"/>
    <w:multiLevelType w:val="hybridMultilevel"/>
    <w:tmpl w:val="A8FC6F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3947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36"/>
    <w:rsid w:val="00005FF6"/>
    <w:rsid w:val="00045870"/>
    <w:rsid w:val="000610DE"/>
    <w:rsid w:val="000D21EE"/>
    <w:rsid w:val="001A3A27"/>
    <w:rsid w:val="001F2B06"/>
    <w:rsid w:val="00247C20"/>
    <w:rsid w:val="00257912"/>
    <w:rsid w:val="002A4C07"/>
    <w:rsid w:val="002C1C4F"/>
    <w:rsid w:val="003C48D8"/>
    <w:rsid w:val="00605217"/>
    <w:rsid w:val="006C4455"/>
    <w:rsid w:val="006D1636"/>
    <w:rsid w:val="006D2BF2"/>
    <w:rsid w:val="006D416D"/>
    <w:rsid w:val="006E1D0D"/>
    <w:rsid w:val="00717AF1"/>
    <w:rsid w:val="007430EF"/>
    <w:rsid w:val="00767A25"/>
    <w:rsid w:val="007A44D0"/>
    <w:rsid w:val="007B2384"/>
    <w:rsid w:val="007F0AC0"/>
    <w:rsid w:val="00846699"/>
    <w:rsid w:val="009A3137"/>
    <w:rsid w:val="00A04922"/>
    <w:rsid w:val="00A248F2"/>
    <w:rsid w:val="00A3729F"/>
    <w:rsid w:val="00A72837"/>
    <w:rsid w:val="00A80CD0"/>
    <w:rsid w:val="00AA18B2"/>
    <w:rsid w:val="00AB48CB"/>
    <w:rsid w:val="00AC50A5"/>
    <w:rsid w:val="00B06E02"/>
    <w:rsid w:val="00B113DE"/>
    <w:rsid w:val="00B73B7D"/>
    <w:rsid w:val="00BD3482"/>
    <w:rsid w:val="00C00428"/>
    <w:rsid w:val="00C15960"/>
    <w:rsid w:val="00C24241"/>
    <w:rsid w:val="00C35A01"/>
    <w:rsid w:val="00C440CA"/>
    <w:rsid w:val="00C4764A"/>
    <w:rsid w:val="00CF42D5"/>
    <w:rsid w:val="00D006C3"/>
    <w:rsid w:val="00E00B22"/>
    <w:rsid w:val="00E73F70"/>
    <w:rsid w:val="00E96677"/>
    <w:rsid w:val="00EB0402"/>
    <w:rsid w:val="00F00F4B"/>
    <w:rsid w:val="00F02DAE"/>
    <w:rsid w:val="00F146DC"/>
    <w:rsid w:val="00F52DF4"/>
    <w:rsid w:val="00F53054"/>
    <w:rsid w:val="00F66B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3F79"/>
  <w15:chartTrackingRefBased/>
  <w15:docId w15:val="{1517C39C-7689-4B75-984F-AD60EF82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A3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974119">
      <w:bodyDiv w:val="1"/>
      <w:marLeft w:val="0"/>
      <w:marRight w:val="0"/>
      <w:marTop w:val="0"/>
      <w:marBottom w:val="0"/>
      <w:divBdr>
        <w:top w:val="none" w:sz="0" w:space="0" w:color="auto"/>
        <w:left w:val="none" w:sz="0" w:space="0" w:color="auto"/>
        <w:bottom w:val="none" w:sz="0" w:space="0" w:color="auto"/>
        <w:right w:val="none" w:sz="0" w:space="0" w:color="auto"/>
      </w:divBdr>
    </w:div>
    <w:div w:id="206051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4</Pages>
  <Words>1896</Words>
  <Characters>10811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31</cp:revision>
  <dcterms:created xsi:type="dcterms:W3CDTF">2022-10-23T13:50:00Z</dcterms:created>
  <dcterms:modified xsi:type="dcterms:W3CDTF">2022-11-28T14:03:00Z</dcterms:modified>
</cp:coreProperties>
</file>