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7B81" w14:textId="327AB768" w:rsidR="00060149" w:rsidRDefault="00846907">
      <w:r>
        <w:t>Titolo:</w:t>
      </w:r>
      <w:r w:rsidR="00592394">
        <w:t xml:space="preserve"> </w:t>
      </w:r>
      <w:r w:rsidR="00801109">
        <w:t xml:space="preserve">Il </w:t>
      </w:r>
      <w:r w:rsidR="00801109">
        <w:t>tema d</w:t>
      </w:r>
      <w:r w:rsidR="003B724D">
        <w:t>ell’</w:t>
      </w:r>
      <w:r w:rsidR="00801109">
        <w:t>invarianza di gettito CUP</w:t>
      </w:r>
      <w:r w:rsidR="00801109">
        <w:t xml:space="preserve"> – le risposte del Dipartimento del MEF a </w:t>
      </w:r>
      <w:proofErr w:type="spellStart"/>
      <w:r w:rsidR="00801109">
        <w:t>Telefisco</w:t>
      </w:r>
      <w:proofErr w:type="spellEnd"/>
      <w:r w:rsidR="00801109">
        <w:t xml:space="preserve"> </w:t>
      </w:r>
    </w:p>
    <w:p w14:paraId="2D947EB6" w14:textId="42FDDB1D" w:rsidR="00846907" w:rsidRDefault="00846907">
      <w:r>
        <w:t>Di Alessandro Merciari</w:t>
      </w:r>
    </w:p>
    <w:p w14:paraId="641A3053" w14:textId="757108C7" w:rsidR="00846907" w:rsidRDefault="00846907" w:rsidP="00846907">
      <w:pPr>
        <w:jc w:val="both"/>
      </w:pPr>
      <w:r>
        <w:t xml:space="preserve">In occasione di </w:t>
      </w:r>
      <w:proofErr w:type="spellStart"/>
      <w:r>
        <w:t>Telefisco</w:t>
      </w:r>
      <w:proofErr w:type="spellEnd"/>
      <w:r>
        <w:t xml:space="preserve"> 2025, il Dipartimento delle Finanze risponde a </w:t>
      </w:r>
      <w:r w:rsidR="00592394">
        <w:t>due specifici quesiti posti</w:t>
      </w:r>
      <w:r>
        <w:t xml:space="preserve"> in materia di Canone Unico Patrimoniale e riguardanti la facoltà </w:t>
      </w:r>
      <w:r w:rsidR="00AE27D9">
        <w:t xml:space="preserve">per </w:t>
      </w:r>
      <w:r>
        <w:t>gli enti di modificare il gettito complessivo della nuova entrata patrimoniale che ha sostituito, a partire dal 2021, i precedenti prelievi dedicati alle occupazioni di suolo pubblico e alle diffusioni pubblicitarie.</w:t>
      </w:r>
    </w:p>
    <w:p w14:paraId="45F07725" w14:textId="10EA2F61" w:rsidR="00846907" w:rsidRDefault="00846907" w:rsidP="00846907">
      <w:pPr>
        <w:jc w:val="both"/>
      </w:pPr>
      <w:r>
        <w:t>Con il primo quesito si chiede se, al pari di quanto avviene con le tariffe di cui ai commi 831 e 831-bis, sia possibile applicare la stessa maggiorazione Istat a tutte le tari</w:t>
      </w:r>
      <w:r w:rsidR="00AE27D9">
        <w:rPr>
          <w:rFonts w:ascii="Calibri" w:eastAsia="Calibri" w:hAnsi="Calibri" w:cs="Calibri"/>
        </w:rPr>
        <w:t>ff</w:t>
      </w:r>
      <w:r>
        <w:t>e del canone di occupazione ed esposizione pubblicitaria.</w:t>
      </w:r>
    </w:p>
    <w:p w14:paraId="65C90DDA" w14:textId="3178B790" w:rsidR="00846907" w:rsidRPr="00846907" w:rsidRDefault="00846907" w:rsidP="00846907">
      <w:pPr>
        <w:jc w:val="both"/>
      </w:pPr>
      <w:r>
        <w:t xml:space="preserve">Con il secondo quesito si chiede invece se, grazie alla modifica apportata </w:t>
      </w:r>
      <w:r w:rsidRPr="00846907">
        <w:t xml:space="preserve">dal comma 757 della manovra 2025 </w:t>
      </w:r>
      <w:r>
        <w:t>sia</w:t>
      </w:r>
      <w:r w:rsidRPr="00846907">
        <w:t xml:space="preserve"> possibile aumentare le tari</w:t>
      </w:r>
      <w:r w:rsidR="00AE27D9">
        <w:rPr>
          <w:rFonts w:ascii="Calibri" w:eastAsia="Calibri" w:hAnsi="Calibri" w:cs="Calibri"/>
        </w:rPr>
        <w:t>ff</w:t>
      </w:r>
      <w:r w:rsidRPr="00846907">
        <w:t>e del canone unico ottenendo un gettito superiore</w:t>
      </w:r>
      <w:r>
        <w:t xml:space="preserve"> </w:t>
      </w:r>
      <w:r w:rsidRPr="00846907">
        <w:t>rispetto all’anno di istituzione del canone</w:t>
      </w:r>
      <w:r>
        <w:t>.</w:t>
      </w:r>
    </w:p>
    <w:p w14:paraId="7EA5E27D" w14:textId="619BDC04" w:rsidR="00846907" w:rsidRPr="00846907" w:rsidRDefault="00846907" w:rsidP="00BE3440">
      <w:pPr>
        <w:jc w:val="both"/>
      </w:pPr>
      <w:r>
        <w:t xml:space="preserve">Ad entrambe le domande viene </w:t>
      </w:r>
      <w:r w:rsidRPr="00846907">
        <w:t>fornita risposta negativa</w:t>
      </w:r>
      <w:r>
        <w:t xml:space="preserve"> da parte del Dipartimento del MEF</w:t>
      </w:r>
      <w:r w:rsidRPr="00846907">
        <w:t xml:space="preserve">. </w:t>
      </w:r>
      <w:r>
        <w:t xml:space="preserve">Secondo il Ministero </w:t>
      </w:r>
      <w:r w:rsidR="00592394">
        <w:t xml:space="preserve">infatti </w:t>
      </w:r>
      <w:r>
        <w:t>l</w:t>
      </w:r>
      <w:r w:rsidRPr="00846907">
        <w:t>a modifica</w:t>
      </w:r>
      <w:r>
        <w:t xml:space="preserve"> </w:t>
      </w:r>
      <w:r w:rsidRPr="00846907">
        <w:t>non riconosce agli enti locali la possibilità di aumentare le tari</w:t>
      </w:r>
      <w:r w:rsidR="00AE27D9">
        <w:rPr>
          <w:rFonts w:ascii="Calibri" w:eastAsia="Calibri" w:hAnsi="Calibri" w:cs="Calibri"/>
        </w:rPr>
        <w:t>ff</w:t>
      </w:r>
      <w:r w:rsidRPr="00846907">
        <w:t>e oltre il limite prescritto dall’articolo 1, comma 817 della legge n. 160</w:t>
      </w:r>
      <w:r>
        <w:t xml:space="preserve"> </w:t>
      </w:r>
      <w:r w:rsidRPr="00846907">
        <w:t>del 2019, il quale stabilisce che il gettito complessivo deve essere pari a quello conseguito dai canoni</w:t>
      </w:r>
      <w:r>
        <w:t xml:space="preserve"> </w:t>
      </w:r>
      <w:r w:rsidRPr="00846907">
        <w:t>e dai tributi che sono sostituiti dal canone stesso.</w:t>
      </w:r>
    </w:p>
    <w:p w14:paraId="5E59397F" w14:textId="3DBA9E42" w:rsidR="00BE3440" w:rsidRDefault="00BE3440" w:rsidP="00BE3440">
      <w:pPr>
        <w:jc w:val="both"/>
      </w:pPr>
      <w:r>
        <w:t xml:space="preserve">Nelle risposte viene rispettivamente specificato che, da una parte, non è possibile applicare un’estensione analogica della previsione normativa contenuta nei commi 831 e 831 bis, e dall’altra si chiarisce come </w:t>
      </w:r>
      <w:r w:rsidR="00846907" w:rsidRPr="00846907">
        <w:t>le modifiche introdotte dalla legge di bilancio per il 2025 hanno solo la funzione di</w:t>
      </w:r>
      <w:r>
        <w:t xml:space="preserve"> </w:t>
      </w:r>
      <w:r w:rsidR="00846907" w:rsidRPr="00846907">
        <w:t>consentire, all’interno dei limiti di gettito fissati dal Legislatore, di graduare in maniera</w:t>
      </w:r>
      <w:r>
        <w:t xml:space="preserve"> </w:t>
      </w:r>
      <w:r w:rsidR="00846907" w:rsidRPr="00846907">
        <w:t>più precisa le tari</w:t>
      </w:r>
      <w:r w:rsidR="00AE27D9">
        <w:rPr>
          <w:rFonts w:ascii="Calibri" w:eastAsia="Calibri" w:hAnsi="Calibri" w:cs="Calibri"/>
        </w:rPr>
        <w:t>ff</w:t>
      </w:r>
      <w:r w:rsidR="00846907" w:rsidRPr="00846907">
        <w:t>e in ragione dell’impatto ambientale e urbanistico</w:t>
      </w:r>
      <w:r>
        <w:t>.</w:t>
      </w:r>
    </w:p>
    <w:p w14:paraId="76E3745B" w14:textId="3F1FDD3A" w:rsidR="00BE3440" w:rsidRDefault="00BE3440" w:rsidP="00BE3440">
      <w:pPr>
        <w:jc w:val="both"/>
      </w:pPr>
      <w:r>
        <w:t xml:space="preserve">Risposte che non sembrano </w:t>
      </w:r>
      <w:r w:rsidR="00592394">
        <w:t xml:space="preserve">in realtà </w:t>
      </w:r>
      <w:r>
        <w:t xml:space="preserve">affrontare la problematica in modo approfondito, limitandosi a dare </w:t>
      </w:r>
      <w:r w:rsidR="008A0104">
        <w:t xml:space="preserve">un’interpretazione, </w:t>
      </w:r>
      <w:r>
        <w:t xml:space="preserve">che, a parere di chi scrive, </w:t>
      </w:r>
      <w:r w:rsidR="008A0104">
        <w:t>era già</w:t>
      </w:r>
      <w:r>
        <w:t xml:space="preserve"> viziata all’origine</w:t>
      </w:r>
      <w:r w:rsidR="008A0104">
        <w:t xml:space="preserve"> rispetto </w:t>
      </w:r>
      <w:r>
        <w:t>alla pr</w:t>
      </w:r>
      <w:r w:rsidR="008A0104">
        <w:t>i</w:t>
      </w:r>
      <w:r>
        <w:t>ma versione del comma 817.</w:t>
      </w:r>
    </w:p>
    <w:p w14:paraId="5BB526E8" w14:textId="3EA7AA13" w:rsidR="00B37FA0" w:rsidRDefault="00B37FA0" w:rsidP="00BE3440">
      <w:pPr>
        <w:jc w:val="both"/>
      </w:pPr>
      <w:r>
        <w:t xml:space="preserve">Infatti, è evidente come la modifica apportata con il comma 757, non vada a modificare l’impostazione e l’interpretazione dell’originale comma 817, ma si limita piuttosto a dettare dei criteri che di fatto non spostano il significato di fondo della </w:t>
      </w:r>
      <w:r w:rsidR="00AE27D9">
        <w:t>norma</w:t>
      </w:r>
      <w:r>
        <w:t xml:space="preserve"> di </w:t>
      </w:r>
      <w:r w:rsidR="00AE27D9">
        <w:t>l</w:t>
      </w:r>
      <w:r>
        <w:t xml:space="preserve">egge. </w:t>
      </w:r>
      <w:r w:rsidR="00592394">
        <w:t>In questo senso</w:t>
      </w:r>
      <w:r>
        <w:t>, coloro che leggevano la disposizione come un vincolo insuperabile, lo continuer</w:t>
      </w:r>
      <w:r w:rsidR="008A0104">
        <w:t>anno</w:t>
      </w:r>
      <w:r>
        <w:t xml:space="preserve"> a fare anche dopo la modifica, e, allo stesso modo, chi invece l</w:t>
      </w:r>
      <w:r w:rsidR="008A0104">
        <w:t>a</w:t>
      </w:r>
      <w:r>
        <w:t xml:space="preserve"> interpretava già come un</w:t>
      </w:r>
      <w:r w:rsidR="008A0104">
        <w:t xml:space="preserve">a previsione </w:t>
      </w:r>
      <w:r>
        <w:t>necessari</w:t>
      </w:r>
      <w:r w:rsidR="008A0104">
        <w:t>a</w:t>
      </w:r>
      <w:r>
        <w:t xml:space="preserve"> solo </w:t>
      </w:r>
      <w:r w:rsidR="00592394">
        <w:t>in fase</w:t>
      </w:r>
      <w:r>
        <w:t xml:space="preserve"> di </w:t>
      </w:r>
      <w:r w:rsidR="008A0104">
        <w:t xml:space="preserve">prima applicazione del canone utile alla </w:t>
      </w:r>
      <w:r>
        <w:t xml:space="preserve">trasformazione dai prelievi precedenti, continuerà </w:t>
      </w:r>
      <w:r w:rsidR="00592394">
        <w:t>a dare lo stesso significato</w:t>
      </w:r>
      <w:r>
        <w:t xml:space="preserve"> anche dopo la modifica.</w:t>
      </w:r>
    </w:p>
    <w:p w14:paraId="75687237" w14:textId="5A2F2993" w:rsidR="00846907" w:rsidRDefault="00B37FA0" w:rsidP="00B37FA0">
      <w:pPr>
        <w:jc w:val="both"/>
      </w:pPr>
      <w:r>
        <w:t>A</w:t>
      </w:r>
      <w:r w:rsidR="00BE3440">
        <w:t xml:space="preserve">nalizziamo </w:t>
      </w:r>
      <w:r w:rsidR="00592394">
        <w:t xml:space="preserve">quindi </w:t>
      </w:r>
      <w:r w:rsidR="00BE3440">
        <w:t>la norma,</w:t>
      </w:r>
      <w:r w:rsidR="00592394">
        <w:t xml:space="preserve"> non solo </w:t>
      </w:r>
      <w:r w:rsidR="00AE27D9">
        <w:t>alla luce del</w:t>
      </w:r>
      <w:r w:rsidR="00592394">
        <w:t xml:space="preserve">la recente modifica, </w:t>
      </w:r>
      <w:r w:rsidR="008A0104">
        <w:t xml:space="preserve">e cerchiamo di capire da dove derivano le due posizioni così contrapposte. Da una parte coloro che azzerano la potestà degli enti di variare il gettito, dall’altra chi invece </w:t>
      </w:r>
      <w:r w:rsidR="00BE3440">
        <w:t xml:space="preserve">apriva ad una possibile modifica in </w:t>
      </w:r>
      <w:r w:rsidR="008A0104">
        <w:t>ragione de</w:t>
      </w:r>
      <w:r w:rsidR="00592394">
        <w:t>l rispetto degli</w:t>
      </w:r>
      <w:r w:rsidR="008A0104">
        <w:t xml:space="preserve"> equilibri di bilancio e in </w:t>
      </w:r>
      <w:r w:rsidR="00BE3440">
        <w:t>forza di quella autonomia e potestà regolamentare riconosciuta in materia di proprie entrate.</w:t>
      </w:r>
    </w:p>
    <w:p w14:paraId="3EF8EB3A" w14:textId="555CE6C6" w:rsidR="00B37FA0" w:rsidRPr="00B37FA0" w:rsidRDefault="00B37FA0" w:rsidP="00B37FA0">
      <w:pPr>
        <w:jc w:val="both"/>
        <w:rPr>
          <w:i/>
          <w:iCs/>
        </w:rPr>
      </w:pPr>
      <w:r>
        <w:t xml:space="preserve">Il testo </w:t>
      </w:r>
      <w:r w:rsidR="008A0104">
        <w:t xml:space="preserve">letterale </w:t>
      </w:r>
      <w:r>
        <w:t xml:space="preserve">del comma 817 recita: </w:t>
      </w:r>
      <w:r w:rsidRPr="00B37FA0">
        <w:rPr>
          <w:i/>
          <w:iCs/>
        </w:rPr>
        <w:t xml:space="preserve">“ Il canone è disciplinato dagli enti in modo da assicurare un gettito pari a quello conseguito dai canoni e dai tributi che sono sostituiti dal canone, fatta salva, in ogni caso, la possibilità di variare il gettito attraverso la modifica delle tariffe </w:t>
      </w:r>
      <w:r w:rsidR="008A0104">
        <w:rPr>
          <w:i/>
          <w:iCs/>
        </w:rPr>
        <w:t>(</w:t>
      </w:r>
      <w:r w:rsidRPr="008A0104">
        <w:rPr>
          <w:i/>
          <w:iCs/>
        </w:rPr>
        <w:t>attuata secondo criteri di ragionevolezza e di gradualità in ragione dell'impatto ambientale e urbanistico delle occupazioni e delle esposizioni pubblicitarie oggetto del canone e della loro incidenza su elementi di arredo urbano o sui mezzi dei servizi di trasporto pubblico locale o dei servizi di mobilità sostenibile</w:t>
      </w:r>
      <w:r w:rsidR="008A0104" w:rsidRPr="008A0104">
        <w:rPr>
          <w:i/>
          <w:iCs/>
        </w:rPr>
        <w:t>)</w:t>
      </w:r>
      <w:r w:rsidRPr="008A0104">
        <w:rPr>
          <w:i/>
          <w:iCs/>
        </w:rPr>
        <w:t>”</w:t>
      </w:r>
    </w:p>
    <w:p w14:paraId="638ED581" w14:textId="0CA4EE39" w:rsidR="00BE3440" w:rsidRDefault="00BE3440" w:rsidP="00BE3440">
      <w:r>
        <w:t>Proviamo quindi a dare delle risposte ai seguenti quesiti</w:t>
      </w:r>
      <w:r w:rsidR="00B37FA0">
        <w:t>:</w:t>
      </w:r>
    </w:p>
    <w:p w14:paraId="5B066E53" w14:textId="38CACB01" w:rsidR="00B37FA0" w:rsidRPr="00287750" w:rsidRDefault="008A0104" w:rsidP="001352AF">
      <w:pPr>
        <w:pStyle w:val="Paragrafoelenco"/>
        <w:numPr>
          <w:ilvl w:val="0"/>
          <w:numId w:val="2"/>
        </w:numPr>
        <w:jc w:val="both"/>
      </w:pPr>
      <w:r>
        <w:lastRenderedPageBreak/>
        <w:t xml:space="preserve">Cosa </w:t>
      </w:r>
      <w:r w:rsidR="00592394">
        <w:t xml:space="preserve">intendeva il Legislatore con la </w:t>
      </w:r>
      <w:r>
        <w:t>frase “…</w:t>
      </w:r>
      <w:r w:rsidR="00B37FA0">
        <w:t xml:space="preserve"> </w:t>
      </w:r>
      <w:r w:rsidRPr="00AE27D9">
        <w:rPr>
          <w:i/>
          <w:iCs/>
        </w:rPr>
        <w:t>fatta salva, in ogni caso, la possibilità di variare il gettito attraverso la modifica delle tariffe…”</w:t>
      </w:r>
      <w:r w:rsidR="00592394" w:rsidRPr="00AE27D9">
        <w:rPr>
          <w:i/>
          <w:iCs/>
        </w:rPr>
        <w:t xml:space="preserve">? </w:t>
      </w:r>
      <w:r w:rsidR="00592394" w:rsidRPr="00287750">
        <w:t xml:space="preserve">Quale motivo c’era </w:t>
      </w:r>
      <w:r w:rsidR="00287750">
        <w:t>di</w:t>
      </w:r>
      <w:r w:rsidR="00592394" w:rsidRPr="00287750">
        <w:t xml:space="preserve"> </w:t>
      </w:r>
      <w:r w:rsidR="00FE65E2">
        <w:t>riportare nel testo</w:t>
      </w:r>
      <w:r w:rsidR="00592394" w:rsidRPr="00287750">
        <w:t xml:space="preserve"> questa frase</w:t>
      </w:r>
      <w:r w:rsidR="00287750" w:rsidRPr="00287750">
        <w:t xml:space="preserve">? Il comma non </w:t>
      </w:r>
      <w:r w:rsidR="00287750">
        <w:t xml:space="preserve">avrebbe potuto riportare </w:t>
      </w:r>
      <w:r w:rsidR="0011755A">
        <w:t>esclusivamente</w:t>
      </w:r>
      <w:r w:rsidR="00287750">
        <w:t xml:space="preserve"> la frase: “</w:t>
      </w:r>
      <w:r w:rsidR="00287750" w:rsidRPr="00AE27D9">
        <w:rPr>
          <w:i/>
          <w:iCs/>
        </w:rPr>
        <w:t>Il canone è disciplinato dagli enti in modo da assicurare un gettito pari a quello conseguito dai canoni e dai tributi che sono sostituiti dal canone</w:t>
      </w:r>
      <w:r w:rsidR="00FE65E2" w:rsidRPr="00AE27D9">
        <w:rPr>
          <w:i/>
          <w:iCs/>
        </w:rPr>
        <w:t>.</w:t>
      </w:r>
      <w:r w:rsidR="00287750" w:rsidRPr="00AE27D9">
        <w:rPr>
          <w:i/>
          <w:iCs/>
        </w:rPr>
        <w:t>”?</w:t>
      </w:r>
    </w:p>
    <w:p w14:paraId="36138378" w14:textId="77777777" w:rsidR="00592394" w:rsidRPr="00592394" w:rsidRDefault="00592394" w:rsidP="00592394">
      <w:pPr>
        <w:pStyle w:val="Paragrafoelenco"/>
      </w:pPr>
    </w:p>
    <w:p w14:paraId="0487B5EB" w14:textId="75BE49EE" w:rsidR="00592394" w:rsidRPr="00287750" w:rsidRDefault="00592394" w:rsidP="00287750">
      <w:pPr>
        <w:pStyle w:val="Paragrafoelenco"/>
        <w:numPr>
          <w:ilvl w:val="0"/>
          <w:numId w:val="2"/>
        </w:numPr>
        <w:jc w:val="both"/>
      </w:pPr>
      <w:r>
        <w:rPr>
          <w:i/>
          <w:iCs/>
        </w:rPr>
        <w:t>Cosa sarebbe successo se non fosse stato introdotto il CUP e si fosse continuato a gestire sulla base dei precedenti prelievi? Gli stessi Enti Locali avrebbero potuto modificare le tariffe TOSAP, COSAP, ICP e CIMP in vigore nel 2020 e variare il gettito complessivo delle diverse entrate di riferimento?</w:t>
      </w:r>
    </w:p>
    <w:p w14:paraId="496F4BE3" w14:textId="77777777" w:rsidR="00287750" w:rsidRDefault="00287750" w:rsidP="00287750">
      <w:pPr>
        <w:pStyle w:val="Paragrafoelenco"/>
      </w:pPr>
    </w:p>
    <w:p w14:paraId="3A86336A" w14:textId="28AD9741" w:rsidR="00287750" w:rsidRDefault="00287750" w:rsidP="00287750">
      <w:pPr>
        <w:jc w:val="both"/>
      </w:pPr>
      <w:r>
        <w:t xml:space="preserve">In merito al primo </w:t>
      </w:r>
      <w:r w:rsidR="00B949C5">
        <w:t>interrogativo</w:t>
      </w:r>
      <w:r>
        <w:t xml:space="preserve">. </w:t>
      </w:r>
    </w:p>
    <w:p w14:paraId="0EBA1152" w14:textId="31C92E85" w:rsidR="004871C6" w:rsidRDefault="004871C6" w:rsidP="00965F74">
      <w:pPr>
        <w:jc w:val="both"/>
      </w:pPr>
      <w:r>
        <w:t xml:space="preserve">Chi scrive, ha sempre considerato </w:t>
      </w:r>
      <w:r w:rsidRPr="004871C6">
        <w:t xml:space="preserve">il vincolo della parità di gettito come strumento necessario solo in fase di prima applicazione per non compromettere gli equilibri di bilancio già all’atto di istituzione del canone unico e per mantenere il precedente livello di pressione impositiva derivante dai canoni e dai tributi sostituiti. Dopodiché </w:t>
      </w:r>
      <w:r w:rsidR="00965F74">
        <w:t>è</w:t>
      </w:r>
      <w:r w:rsidRPr="004871C6">
        <w:t xml:space="preserve"> evidente come diventi compito delle singole amministrazioni locali garantire il rispetto dei principi generali che devono caratterizzare la gestione della nuova entrata e, conseguentemente, ipotizzare anche degli eventuali aumenti tariffari</w:t>
      </w:r>
      <w:r w:rsidR="0011755A">
        <w:t xml:space="preserve"> (anche per lo stesso anno 2021)</w:t>
      </w:r>
      <w:r w:rsidRPr="004871C6">
        <w:t>, purché motivati</w:t>
      </w:r>
      <w:r>
        <w:t>.</w:t>
      </w:r>
      <w:r w:rsidR="00965F74">
        <w:t xml:space="preserve"> </w:t>
      </w:r>
      <w:r w:rsidR="00965F74" w:rsidRPr="00965F74">
        <w:t xml:space="preserve">Del resto, quando il Legislatore prevedeva </w:t>
      </w:r>
      <w:r w:rsidR="00965F74" w:rsidRPr="00965F74">
        <w:rPr>
          <w:i/>
          <w:iCs/>
        </w:rPr>
        <w:t>“…in ogni caso, la possibilità di variare il gettito attraverso la modifica delle tariffe…”</w:t>
      </w:r>
      <w:r w:rsidR="00965F74" w:rsidRPr="00965F74">
        <w:t xml:space="preserve"> voleva innanzi tutto salvaguardare quell’autonomia in materia di proprie entrate, riconosciuta dall'articolo 52 del </w:t>
      </w:r>
      <w:proofErr w:type="spellStart"/>
      <w:r w:rsidR="00965F74" w:rsidRPr="00965F74">
        <w:t>D.Lgs</w:t>
      </w:r>
      <w:proofErr w:type="spellEnd"/>
      <w:r w:rsidR="00965F74" w:rsidRPr="00965F74">
        <w:t xml:space="preserve"> 446/97 a garanzia dei Comuni, Province e Città Metropolitane che legittimamente dovevano perseguire i propri obiettivi di autonomia finanziaria di entrata riconosciuti all'articolo 119 della Costituzione.</w:t>
      </w:r>
    </w:p>
    <w:p w14:paraId="5F39C1E1" w14:textId="098D2E86" w:rsidR="007E1A68" w:rsidRDefault="007E1A68" w:rsidP="00965F74">
      <w:pPr>
        <w:jc w:val="both"/>
      </w:pPr>
      <w:r>
        <w:t>Del resto se il Legislatore</w:t>
      </w:r>
      <w:r w:rsidR="00B949C5">
        <w:t xml:space="preserve">, con il comma </w:t>
      </w:r>
      <w:r w:rsidR="001B6B7D">
        <w:t>817, avesse</w:t>
      </w:r>
      <w:r>
        <w:t xml:space="preserve"> imposto l’invarianza di gettito a tempo indeterminato,</w:t>
      </w:r>
      <w:r w:rsidR="0011755A">
        <w:t xml:space="preserve"> come </w:t>
      </w:r>
      <w:r w:rsidR="00AE27D9">
        <w:t>pare sostenere</w:t>
      </w:r>
      <w:r w:rsidR="0011755A">
        <w:t xml:space="preserve"> oggi il dipartimento del </w:t>
      </w:r>
      <w:proofErr w:type="gramStart"/>
      <w:r w:rsidR="0011755A">
        <w:t xml:space="preserve">MEF, </w:t>
      </w:r>
      <w:r>
        <w:t xml:space="preserve"> avrebbe</w:t>
      </w:r>
      <w:proofErr w:type="gramEnd"/>
      <w:r>
        <w:t xml:space="preserve"> chiuso </w:t>
      </w:r>
      <w:r w:rsidR="00B949C5">
        <w:t>la disposizione</w:t>
      </w:r>
      <w:r>
        <w:t xml:space="preserve"> </w:t>
      </w:r>
      <w:r w:rsidR="00B949C5">
        <w:t xml:space="preserve">normativa </w:t>
      </w:r>
      <w:r>
        <w:t xml:space="preserve">solo con la prima frase, senza aggiungere la possibilità </w:t>
      </w:r>
      <w:r w:rsidR="0011755A">
        <w:t xml:space="preserve">per gli enti </w:t>
      </w:r>
      <w:r>
        <w:t xml:space="preserve">di variare il gettito. </w:t>
      </w:r>
      <w:r w:rsidR="0011755A">
        <w:t>D’altro canto</w:t>
      </w:r>
      <w:r w:rsidR="00B949C5">
        <w:t xml:space="preserve">, </w:t>
      </w:r>
      <w:r w:rsidR="0011755A">
        <w:t xml:space="preserve">se l’intento era solo quello </w:t>
      </w:r>
      <w:r w:rsidR="00AE27D9">
        <w:t>di permettere la modifica</w:t>
      </w:r>
      <w:r>
        <w:t xml:space="preserve"> </w:t>
      </w:r>
      <w:r w:rsidR="00AE27D9">
        <w:t>del</w:t>
      </w:r>
      <w:r>
        <w:t xml:space="preserve">le tariffe e </w:t>
      </w:r>
      <w:r w:rsidR="00B949C5">
        <w:t>di</w:t>
      </w:r>
      <w:r>
        <w:t xml:space="preserve"> costru</w:t>
      </w:r>
      <w:r w:rsidR="00B949C5">
        <w:t>ire</w:t>
      </w:r>
      <w:r>
        <w:t xml:space="preserve"> un impianto tariffario che tenesse conto delle caratteristiche dei singoli territori</w:t>
      </w:r>
      <w:r w:rsidR="0011755A">
        <w:t xml:space="preserve"> senza alterare il gettito complessivo</w:t>
      </w:r>
      <w:r>
        <w:t xml:space="preserve">, </w:t>
      </w:r>
      <w:r w:rsidR="0011755A">
        <w:t xml:space="preserve">questo </w:t>
      </w:r>
      <w:r>
        <w:t xml:space="preserve">era già </w:t>
      </w:r>
      <w:r w:rsidR="00AE27D9">
        <w:t xml:space="preserve">ampiamente </w:t>
      </w:r>
      <w:r>
        <w:t>previst</w:t>
      </w:r>
      <w:r w:rsidR="0011755A">
        <w:t>o</w:t>
      </w:r>
      <w:r>
        <w:t xml:space="preserve"> nel successivo comma 821, nonché nei commi 824 e 825 </w:t>
      </w:r>
      <w:r w:rsidR="00B949C5">
        <w:t>dedicati alla</w:t>
      </w:r>
      <w:r>
        <w:t xml:space="preserve"> definizione del canone per i due presupposti applicativi</w:t>
      </w:r>
      <w:r w:rsidR="00B949C5">
        <w:t xml:space="preserve">, oltre che negli stessi commi 826 e 827 </w:t>
      </w:r>
      <w:r w:rsidR="001B6B7D">
        <w:t>dove vengono fissate le tariffe standard modificabili dagli enti locali.</w:t>
      </w:r>
    </w:p>
    <w:p w14:paraId="688821C3" w14:textId="54ECCC0F" w:rsidR="001B6B7D" w:rsidRDefault="001B6B7D" w:rsidP="00965F74">
      <w:pPr>
        <w:jc w:val="both"/>
      </w:pPr>
      <w:r>
        <w:t xml:space="preserve">Il Dipartimento del MEF con la risposta a </w:t>
      </w:r>
      <w:proofErr w:type="spellStart"/>
      <w:r>
        <w:t>Telefisco</w:t>
      </w:r>
      <w:proofErr w:type="spellEnd"/>
      <w:r>
        <w:t xml:space="preserve"> 2025 prende </w:t>
      </w:r>
      <w:r w:rsidR="0011755A">
        <w:t xml:space="preserve">invece </w:t>
      </w:r>
      <w:r>
        <w:t>una posizione</w:t>
      </w:r>
      <w:r w:rsidR="0011755A">
        <w:t xml:space="preserve"> netta</w:t>
      </w:r>
      <w:r>
        <w:t xml:space="preserve"> senza tuttavia fornire una convincente spiegazione del significato </w:t>
      </w:r>
      <w:r w:rsidR="0011755A">
        <w:t xml:space="preserve">che assumono le </w:t>
      </w:r>
      <w:r>
        <w:t>parole “</w:t>
      </w:r>
      <w:r>
        <w:rPr>
          <w:i/>
          <w:iCs/>
        </w:rPr>
        <w:t>…</w:t>
      </w:r>
      <w:r w:rsidRPr="00B37FA0">
        <w:rPr>
          <w:i/>
          <w:iCs/>
        </w:rPr>
        <w:t xml:space="preserve"> possibilità di variare il gettito attraverso la modifica delle tariffe</w:t>
      </w:r>
      <w:r>
        <w:rPr>
          <w:i/>
          <w:iCs/>
        </w:rPr>
        <w:t>”</w:t>
      </w:r>
      <w:r>
        <w:t xml:space="preserve">. </w:t>
      </w:r>
    </w:p>
    <w:p w14:paraId="0D3541C7" w14:textId="4DB97F33" w:rsidR="001B6B7D" w:rsidRDefault="001B6B7D" w:rsidP="00965F74">
      <w:pPr>
        <w:jc w:val="both"/>
      </w:pPr>
      <w:r>
        <w:t xml:space="preserve">Proviamo </w:t>
      </w:r>
      <w:r w:rsidR="0011755A">
        <w:t xml:space="preserve">allora </w:t>
      </w:r>
      <w:r>
        <w:t xml:space="preserve">ad affidarci ad un professionista della lingua italiana e facciamo un’analisi </w:t>
      </w:r>
      <w:r w:rsidR="00A05263">
        <w:t>logica</w:t>
      </w:r>
      <w:r>
        <w:t xml:space="preserve"> del periodo</w:t>
      </w:r>
      <w:r w:rsidR="00A05263">
        <w:t>. Di seguito si propone l’</w:t>
      </w:r>
      <w:r w:rsidR="0040481A">
        <w:t>interpretazione letterale</w:t>
      </w:r>
      <w:r w:rsidR="00A05263">
        <w:t>, non intossicata dalla materia fiscale, della dott.ssa Sara Molinari della Facoltà di Italianistica dell’Università di Pisa</w:t>
      </w:r>
      <w:r>
        <w:t>:</w:t>
      </w:r>
    </w:p>
    <w:p w14:paraId="40B8E968" w14:textId="0AD31B61" w:rsidR="00A05263" w:rsidRPr="00A05263" w:rsidRDefault="00A05263" w:rsidP="00A0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444444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444444"/>
          <w:kern w:val="0"/>
          <w:lang w:eastAsia="it-IT"/>
          <w14:ligatures w14:val="none"/>
        </w:rPr>
        <w:t>“</w:t>
      </w:r>
      <w:r w:rsidRPr="00A05263">
        <w:rPr>
          <w:rFonts w:ascii="Times New Roman" w:eastAsia="Times New Roman" w:hAnsi="Times New Roman" w:cs="Times New Roman"/>
          <w:i/>
          <w:iCs/>
          <w:color w:val="444444"/>
          <w:kern w:val="0"/>
          <w:lang w:eastAsia="it-IT"/>
          <w14:ligatures w14:val="none"/>
        </w:rPr>
        <w:t>Il canone è disciplinato dagli enti in modo da assicurare un gettito pari a quello conseguito dai canoni e dai tributi che sono sostituiti dal canone, fatta salva, in ogni caso, la possibilità di variare il gettito attraverso la modifica delle tariffe.</w:t>
      </w:r>
      <w:r>
        <w:rPr>
          <w:rFonts w:ascii="Times New Roman" w:eastAsia="Times New Roman" w:hAnsi="Times New Roman" w:cs="Times New Roman"/>
          <w:i/>
          <w:iCs/>
          <w:color w:val="444444"/>
          <w:kern w:val="0"/>
          <w:lang w:eastAsia="it-IT"/>
          <w14:ligatures w14:val="none"/>
        </w:rPr>
        <w:t>”</w:t>
      </w:r>
    </w:p>
    <w:p w14:paraId="5A37FD25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Proposizione principale</w:t>
      </w:r>
      <w:r>
        <w:rPr>
          <w:rFonts w:ascii="Times New Roman" w:hAnsi="Times New Roman" w:cs="Times New Roman"/>
        </w:rPr>
        <w:t>:</w:t>
      </w:r>
    </w:p>
    <w:p w14:paraId="30F76C54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Il canone</w:t>
      </w:r>
      <w:r>
        <w:rPr>
          <w:rFonts w:ascii="Times New Roman" w:hAnsi="Times New Roman" w:cs="Times New Roman"/>
        </w:rPr>
        <w:t>: soggetto</w:t>
      </w:r>
    </w:p>
    <w:p w14:paraId="1F039DF9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è disciplinato</w:t>
      </w:r>
      <w:r>
        <w:rPr>
          <w:rFonts w:ascii="Times New Roman" w:hAnsi="Times New Roman" w:cs="Times New Roman"/>
        </w:rPr>
        <w:t>: predicato verbale</w:t>
      </w:r>
    </w:p>
    <w:p w14:paraId="68D0098F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dagli enti</w:t>
      </w:r>
      <w:r>
        <w:rPr>
          <w:rFonts w:ascii="Times New Roman" w:hAnsi="Times New Roman" w:cs="Times New Roman"/>
        </w:rPr>
        <w:t>: complemento d’agente</w:t>
      </w:r>
    </w:p>
    <w:p w14:paraId="100BA452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in modo da assicurare un gettito pari a quello conseguito dai canoni e dai tributi</w:t>
      </w:r>
      <w:r>
        <w:rPr>
          <w:rFonts w:ascii="Times New Roman" w:hAnsi="Times New Roman" w:cs="Times New Roman"/>
        </w:rPr>
        <w:t>: complemento di modo o di fine (“da assicurare”: subordinata finale implicita: indica lo scopo della disciplina del canone)</w:t>
      </w:r>
    </w:p>
    <w:p w14:paraId="34EB1B25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Subordinata relativa all’interno della principale</w:t>
      </w:r>
      <w:r>
        <w:rPr>
          <w:rFonts w:ascii="Times New Roman" w:hAnsi="Times New Roman" w:cs="Times New Roman"/>
        </w:rPr>
        <w:t>:</w:t>
      </w:r>
    </w:p>
    <w:p w14:paraId="3A7D2B37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che</w:t>
      </w:r>
      <w:r>
        <w:rPr>
          <w:rFonts w:ascii="Times New Roman" w:hAnsi="Times New Roman" w:cs="Times New Roman"/>
        </w:rPr>
        <w:t>: da interpretare come “i quali” (quindi: i canoni e i tributi)</w:t>
      </w:r>
    </w:p>
    <w:p w14:paraId="6EEFAF79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sono sostituiti</w:t>
      </w:r>
      <w:r>
        <w:rPr>
          <w:rFonts w:ascii="Times New Roman" w:hAnsi="Times New Roman" w:cs="Times New Roman"/>
        </w:rPr>
        <w:t>: predicato verbale</w:t>
      </w:r>
    </w:p>
    <w:p w14:paraId="7C2BB4A2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dal canone</w:t>
      </w:r>
      <w:r>
        <w:rPr>
          <w:rFonts w:ascii="Times New Roman" w:hAnsi="Times New Roman" w:cs="Times New Roman"/>
        </w:rPr>
        <w:t>: complemento d’agente</w:t>
      </w:r>
    </w:p>
    <w:p w14:paraId="0B8F29E9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Proposizione subordinata (di tipo concessivo)</w:t>
      </w:r>
      <w:r>
        <w:rPr>
          <w:rFonts w:ascii="Times New Roman" w:hAnsi="Times New Roman" w:cs="Times New Roman"/>
        </w:rPr>
        <w:t>:</w:t>
      </w:r>
    </w:p>
    <w:p w14:paraId="0E477BDB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fatta salva</w:t>
      </w:r>
      <w:r>
        <w:rPr>
          <w:rFonts w:ascii="Times New Roman" w:hAnsi="Times New Roman" w:cs="Times New Roman"/>
        </w:rPr>
        <w:t>: locuzione che significa “mantenendo comunque (la possibilità)”</w:t>
      </w:r>
    </w:p>
    <w:p w14:paraId="67673A7A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 ogni caso</w:t>
      </w:r>
      <w:r>
        <w:rPr>
          <w:rFonts w:ascii="Times New Roman" w:hAnsi="Times New Roman" w:cs="Times New Roman"/>
        </w:rPr>
        <w:t>: espressione avverbiale che sottolinea che questa eccezione vale sempre</w:t>
      </w:r>
    </w:p>
    <w:p w14:paraId="7E3B43D1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la possibilità</w:t>
      </w:r>
      <w:r>
        <w:rPr>
          <w:rFonts w:ascii="Times New Roman" w:hAnsi="Times New Roman" w:cs="Times New Roman"/>
        </w:rPr>
        <w:t>: soggetto</w:t>
      </w:r>
    </w:p>
    <w:p w14:paraId="42A59F8A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di variare il gettito</w:t>
      </w:r>
      <w:r>
        <w:rPr>
          <w:rFonts w:ascii="Times New Roman" w:hAnsi="Times New Roman" w:cs="Times New Roman"/>
        </w:rPr>
        <w:t>: complemento di specificazione (indica su cosa si può intervenire)</w:t>
      </w:r>
    </w:p>
    <w:p w14:paraId="66E63949" w14:textId="77777777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attraverso la modifica delle tariffe</w:t>
      </w:r>
      <w:r>
        <w:rPr>
          <w:rFonts w:ascii="Times New Roman" w:hAnsi="Times New Roman" w:cs="Times New Roman"/>
        </w:rPr>
        <w:t>: complemento di mezzo</w:t>
      </w:r>
    </w:p>
    <w:p w14:paraId="49DCA12E" w14:textId="31A31AE0" w:rsidR="00A05263" w:rsidRDefault="00A05263" w:rsidP="00A052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Significato del testo: la legge stabilisce che gli enti disciplinano il canone in modo che il gettito derivante sia uguale a quello prodotto dai canoni e tributi che sostituisce. Tuttavia, lascia aperta la possibilità di variare il gettito modificando le tariffe.</w:t>
      </w:r>
    </w:p>
    <w:p w14:paraId="66DB312A" w14:textId="77777777" w:rsidR="00D114E9" w:rsidRDefault="00D114E9" w:rsidP="00965F74">
      <w:pPr>
        <w:jc w:val="both"/>
      </w:pPr>
    </w:p>
    <w:p w14:paraId="1D877D65" w14:textId="071765FC" w:rsidR="007E1A68" w:rsidRDefault="00B949C5" w:rsidP="00965F74">
      <w:pPr>
        <w:jc w:val="both"/>
      </w:pPr>
      <w:r>
        <w:t>In merito al secondo interrogativo.</w:t>
      </w:r>
    </w:p>
    <w:p w14:paraId="39C8C472" w14:textId="77777777" w:rsidR="0011755A" w:rsidRDefault="006A189A" w:rsidP="00965F74">
      <w:pPr>
        <w:jc w:val="both"/>
      </w:pPr>
      <w:r>
        <w:t>Nell’analisi della norma, ci siamo chiesti</w:t>
      </w:r>
      <w:r w:rsidR="0089523F">
        <w:t xml:space="preserve"> cosa sarebbe accaduto se il CUP non fosse mai entrato in vigore, ovvero come sarebbe stata la</w:t>
      </w:r>
      <w:r w:rsidR="001954B0">
        <w:t xml:space="preserve"> gestione in continuità con i</w:t>
      </w:r>
      <w:r w:rsidR="0089523F">
        <w:t xml:space="preserve"> precedenti prelievi. </w:t>
      </w:r>
    </w:p>
    <w:p w14:paraId="74660B54" w14:textId="72FE4843" w:rsidR="001954B0" w:rsidRDefault="0089523F" w:rsidP="00965F74">
      <w:pPr>
        <w:jc w:val="both"/>
      </w:pPr>
      <w:r>
        <w:t xml:space="preserve">I Comuni, le Province e le Città </w:t>
      </w:r>
      <w:r w:rsidR="004062A7">
        <w:t>Metropolitane</w:t>
      </w:r>
      <w:r>
        <w:t xml:space="preserve">, come avrebbero proseguito la gestione del prelievo per le occupazioni di suolo </w:t>
      </w:r>
      <w:r w:rsidR="004062A7">
        <w:t>pubblico</w:t>
      </w:r>
      <w:r>
        <w:t xml:space="preserve"> e per le diffusioni pubblicitarie? </w:t>
      </w:r>
      <w:r w:rsidR="001954B0">
        <w:t xml:space="preserve">Quali margini avrebbero avuto nel prevedere </w:t>
      </w:r>
      <w:r w:rsidR="0011755A">
        <w:t xml:space="preserve">eventuali </w:t>
      </w:r>
      <w:r w:rsidR="001954B0">
        <w:t>aumenti tariffari tali da modificare il gettito atteso per le specifiche entra</w:t>
      </w:r>
      <w:r w:rsidR="00A05263">
        <w:t>te</w:t>
      </w:r>
      <w:r w:rsidR="001954B0">
        <w:t xml:space="preserve">? </w:t>
      </w:r>
    </w:p>
    <w:p w14:paraId="1BCD849B" w14:textId="77777777" w:rsidR="00A05263" w:rsidRDefault="0089523F" w:rsidP="00965F74">
      <w:pPr>
        <w:jc w:val="both"/>
      </w:pPr>
      <w:r>
        <w:t xml:space="preserve">La risposta è condizionata dal </w:t>
      </w:r>
      <w:r w:rsidR="001954B0">
        <w:t xml:space="preserve">tipo di </w:t>
      </w:r>
      <w:r>
        <w:t xml:space="preserve">regime che era stato scelto </w:t>
      </w:r>
      <w:r w:rsidR="0011755A">
        <w:t xml:space="preserve">all’epoca </w:t>
      </w:r>
      <w:r>
        <w:t xml:space="preserve">dalle singole amministrazioni per gestire i </w:t>
      </w:r>
      <w:r w:rsidR="001954B0">
        <w:t xml:space="preserve">due diversi </w:t>
      </w:r>
      <w:r>
        <w:t xml:space="preserve">prelievi. </w:t>
      </w:r>
    </w:p>
    <w:p w14:paraId="3A73BFD5" w14:textId="2027394A" w:rsidR="006A189A" w:rsidRDefault="0089523F" w:rsidP="00965F74">
      <w:pPr>
        <w:jc w:val="both"/>
      </w:pPr>
      <w:r>
        <w:t xml:space="preserve">Per </w:t>
      </w:r>
      <w:r w:rsidR="004062A7">
        <w:t xml:space="preserve">gli Enti </w:t>
      </w:r>
      <w:r>
        <w:t xml:space="preserve">che gestivano le due entrate con il regime tributario della Tassa per l’Occupazione degli Spazi ed Aree Pubbliche (TOSAP) </w:t>
      </w:r>
      <w:r w:rsidR="001954B0">
        <w:t>e dell’Imposta</w:t>
      </w:r>
      <w:r>
        <w:t xml:space="preserve"> Comunale sulla Pubblicità (ICP), </w:t>
      </w:r>
      <w:r w:rsidR="004062A7">
        <w:t>avrebbero</w:t>
      </w:r>
      <w:r>
        <w:t xml:space="preserve"> dovuto deliberare le tariffe e i relativi aumenti rimanendo </w:t>
      </w:r>
      <w:r w:rsidR="0011755A">
        <w:t xml:space="preserve">sempre </w:t>
      </w:r>
      <w:r>
        <w:t xml:space="preserve">all’interno della forbice </w:t>
      </w:r>
      <w:r w:rsidR="001954B0">
        <w:t>tariffaria minima</w:t>
      </w:r>
      <w:r>
        <w:t xml:space="preserve"> e massima indicata </w:t>
      </w:r>
      <w:r w:rsidR="001954B0">
        <w:t>nel</w:t>
      </w:r>
      <w:r>
        <w:t xml:space="preserve"> </w:t>
      </w:r>
      <w:proofErr w:type="spellStart"/>
      <w:r>
        <w:t>D.Lgs</w:t>
      </w:r>
      <w:proofErr w:type="spellEnd"/>
      <w:r>
        <w:t xml:space="preserve"> 507/93 e successive modificazioni. Il Legislatore aveva infatti previsto dei valori a cui gli enti avrebbero dovuto fare riferimento in base alla classe di </w:t>
      </w:r>
      <w:r w:rsidR="009B6F09">
        <w:t>appartenenza</w:t>
      </w:r>
      <w:r w:rsidR="001954B0">
        <w:t>, senza la possibilità discostarsi oltre il limite massimo</w:t>
      </w:r>
      <w:r>
        <w:t xml:space="preserve">.  </w:t>
      </w:r>
    </w:p>
    <w:p w14:paraId="69FCBEF9" w14:textId="2C1296A1" w:rsidR="009B6F09" w:rsidRDefault="00A05263" w:rsidP="00965F74">
      <w:pPr>
        <w:jc w:val="both"/>
      </w:pPr>
      <w:r>
        <w:t>In particolare p</w:t>
      </w:r>
      <w:r w:rsidR="009B6F09">
        <w:t xml:space="preserve">er l’ICP l’articolo 12 del </w:t>
      </w:r>
      <w:proofErr w:type="spellStart"/>
      <w:r w:rsidR="009B6F09">
        <w:t>D.Lgs</w:t>
      </w:r>
      <w:proofErr w:type="spellEnd"/>
      <w:r w:rsidR="009B6F09">
        <w:t xml:space="preserve"> 507/93 stabiliva la tariffa base, dando la possibilità ai Comuni di </w:t>
      </w:r>
      <w:r w:rsidR="001954B0">
        <w:t>deliberare</w:t>
      </w:r>
      <w:r w:rsidR="009B6F09">
        <w:t xml:space="preserve"> aumenti </w:t>
      </w:r>
      <w:r w:rsidR="001954B0">
        <w:t xml:space="preserve">predefiniti nella misura </w:t>
      </w:r>
      <w:r w:rsidR="009B6F09">
        <w:t>del 20% e</w:t>
      </w:r>
      <w:r w:rsidR="001954B0">
        <w:t>/o</w:t>
      </w:r>
      <w:r w:rsidR="009B6F09">
        <w:t xml:space="preserve"> del 50</w:t>
      </w:r>
      <w:r>
        <w:t>%,</w:t>
      </w:r>
      <w:r w:rsidR="0011755A">
        <w:t xml:space="preserve"> mentre per </w:t>
      </w:r>
      <w:r w:rsidR="009B6F09">
        <w:t xml:space="preserve">la TOSAP gli articolo 44 e 45 del </w:t>
      </w:r>
      <w:proofErr w:type="spellStart"/>
      <w:r w:rsidR="009B6F09">
        <w:t>D.Lgs</w:t>
      </w:r>
      <w:proofErr w:type="spellEnd"/>
      <w:r w:rsidR="009B6F09">
        <w:t xml:space="preserve"> 507/93 stabilivano le tariffe minime e massime rispettivamente per occupazioni permanenti e temporanee.</w:t>
      </w:r>
    </w:p>
    <w:p w14:paraId="7475CF95" w14:textId="31524057" w:rsidR="00663346" w:rsidRPr="00663346" w:rsidRDefault="00663346" w:rsidP="00663346">
      <w:pPr>
        <w:jc w:val="both"/>
        <w:rPr>
          <w:i/>
          <w:iCs/>
        </w:rPr>
      </w:pPr>
      <w:r>
        <w:lastRenderedPageBreak/>
        <w:t xml:space="preserve">Per i Comuni </w:t>
      </w:r>
      <w:r w:rsidR="001954B0">
        <w:t xml:space="preserve">invece </w:t>
      </w:r>
      <w:r>
        <w:t xml:space="preserve">che scelsero di passare da ICP a Canone per l’Installazione dei Mezzi Pubblicitari (CIMP) </w:t>
      </w:r>
      <w:r w:rsidR="004C2B9F">
        <w:t>fu fissato</w:t>
      </w:r>
      <w:r w:rsidR="001954B0">
        <w:t xml:space="preserve"> un limite superiore che consentiva di aumentare le tariffe al massimo del 25% rispetto alle precedenti. </w:t>
      </w:r>
      <w:r w:rsidR="0011755A">
        <w:t xml:space="preserve">Ricordiamo infatti come </w:t>
      </w:r>
      <w:r w:rsidR="001954B0">
        <w:t>l</w:t>
      </w:r>
      <w:r w:rsidRPr="00663346">
        <w:t xml:space="preserve">'articolo 10, comma 5, lettera b) della legge 28 dicembre 2001, n. 448 (finanziaria 2002),  </w:t>
      </w:r>
      <w:r w:rsidR="0011755A">
        <w:t>aveva</w:t>
      </w:r>
      <w:r w:rsidRPr="00663346">
        <w:t xml:space="preserve"> modificato l’articolo 62 del decreto legislativo n. 446 del 1997 ponendo il limite alla determinazione della tariffa CIMP, di un incremento massimo pari al </w:t>
      </w:r>
      <w:r w:rsidRPr="00663346">
        <w:rPr>
          <w:i/>
          <w:iCs/>
        </w:rPr>
        <w:t xml:space="preserve">«...25 per cento delle tariffe stabilite ai sensi del </w:t>
      </w:r>
      <w:proofErr w:type="spellStart"/>
      <w:r w:rsidRPr="00663346">
        <w:rPr>
          <w:i/>
          <w:iCs/>
        </w:rPr>
        <w:t>D.Lgs</w:t>
      </w:r>
      <w:proofErr w:type="spellEnd"/>
      <w:r w:rsidRPr="00663346">
        <w:rPr>
          <w:i/>
          <w:iCs/>
        </w:rPr>
        <w:t>, n. 507/93, per l'imposta comunale sulla pubblicità e deliberate dall'amministrazione comunale nell'anno solare antecedente l'adozione della delibera di sostituzione dell'imposta comunale sulla pubblicità con il canone...»;</w:t>
      </w:r>
    </w:p>
    <w:p w14:paraId="3FC0EEEA" w14:textId="40E2C750" w:rsidR="009B6F09" w:rsidRDefault="00663346" w:rsidP="00965F74">
      <w:pPr>
        <w:jc w:val="both"/>
      </w:pPr>
      <w:r>
        <w:t>Anche in questo caso esisteva un limite massimo invalicabile da parte delle amministrazioni locali in sede di determinazione tariffaria</w:t>
      </w:r>
      <w:r w:rsidR="001954B0">
        <w:t xml:space="preserve"> per questa diversa entrata, la cui natura </w:t>
      </w:r>
      <w:r w:rsidR="0011755A">
        <w:t xml:space="preserve">fu dichiarata </w:t>
      </w:r>
      <w:r w:rsidR="001954B0">
        <w:t>tributaria</w:t>
      </w:r>
      <w:r w:rsidR="0011755A">
        <w:t xml:space="preserve"> grazie alla sentenza della </w:t>
      </w:r>
      <w:r w:rsidR="0011755A" w:rsidRPr="007E3B54">
        <w:t>Corte Costituzionale</w:t>
      </w:r>
      <w:r w:rsidR="0011755A">
        <w:t xml:space="preserve"> 141/2009</w:t>
      </w:r>
      <w:r>
        <w:t>.</w:t>
      </w:r>
    </w:p>
    <w:p w14:paraId="3B17106F" w14:textId="77777777" w:rsidR="007E3B54" w:rsidRDefault="00663346" w:rsidP="00965F74">
      <w:pPr>
        <w:jc w:val="both"/>
      </w:pPr>
      <w:r>
        <w:t xml:space="preserve">Per i Comuni che invece scelsero di passare da TOSAP a COSAP, i limiti tariffari imposti dalla normativa tributaria vennero meno. </w:t>
      </w:r>
    </w:p>
    <w:p w14:paraId="6E37A1FE" w14:textId="77777777" w:rsidR="0011755A" w:rsidRDefault="001954B0" w:rsidP="00965F74">
      <w:pPr>
        <w:jc w:val="both"/>
      </w:pPr>
      <w:r>
        <w:t xml:space="preserve">Il prelievo </w:t>
      </w:r>
      <w:r w:rsidR="007E3B54">
        <w:t xml:space="preserve">COSAP, </w:t>
      </w:r>
      <w:r w:rsidR="007E3B54" w:rsidRPr="007E3B54">
        <w:t>come stabil</w:t>
      </w:r>
      <w:r w:rsidR="007E3B54">
        <w:t>ì</w:t>
      </w:r>
      <w:r w:rsidR="007E3B54" w:rsidRPr="007E3B54">
        <w:t xml:space="preserve"> </w:t>
      </w:r>
      <w:r w:rsidR="007E3B54">
        <w:t>la</w:t>
      </w:r>
      <w:r w:rsidR="007E3B54" w:rsidRPr="007E3B54">
        <w:t xml:space="preserve"> </w:t>
      </w:r>
      <w:r w:rsidR="0011755A">
        <w:t xml:space="preserve">stessa </w:t>
      </w:r>
      <w:r w:rsidR="007E3B54" w:rsidRPr="007E3B54">
        <w:t>Corte Costituzionale con sentenza del 14 marzo 2008 n. 64</w:t>
      </w:r>
      <w:r w:rsidR="007E3B54">
        <w:t xml:space="preserve">, </w:t>
      </w:r>
      <w:r w:rsidR="0011755A">
        <w:t>era</w:t>
      </w:r>
      <w:r w:rsidR="007E3B54" w:rsidRPr="007E3B54">
        <w:t xml:space="preserve"> un’entrata patrimoniale, </w:t>
      </w:r>
      <w:r>
        <w:t>esattamente come</w:t>
      </w:r>
      <w:r w:rsidR="007E3B54">
        <w:t xml:space="preserve"> l’attuale CUP (vedi risposta</w:t>
      </w:r>
      <w:r w:rsidR="002A0B77">
        <w:t xml:space="preserve"> n.8</w:t>
      </w:r>
      <w:r w:rsidR="007E3B54">
        <w:t xml:space="preserve"> a </w:t>
      </w:r>
      <w:proofErr w:type="spellStart"/>
      <w:r w:rsidR="007E3B54">
        <w:t>Telefisco</w:t>
      </w:r>
      <w:proofErr w:type="spellEnd"/>
      <w:r w:rsidR="002A0B77">
        <w:t xml:space="preserve"> del 31/01/20</w:t>
      </w:r>
      <w:r w:rsidR="0011755A">
        <w:t>2</w:t>
      </w:r>
      <w:r w:rsidR="002A0B77">
        <w:t xml:space="preserve">2 </w:t>
      </w:r>
      <w:r w:rsidR="007E3B54">
        <w:t xml:space="preserve">dello stesso Dipartimento del MEF). </w:t>
      </w:r>
    </w:p>
    <w:p w14:paraId="2E7C3F61" w14:textId="7ED95DD0" w:rsidR="00663346" w:rsidRDefault="007E3B54" w:rsidP="00965F74">
      <w:pPr>
        <w:jc w:val="both"/>
      </w:pPr>
      <w:r>
        <w:t xml:space="preserve">Ebbene in materia di COSAP, i limiti tariffari imposti in materia tributaria vennero eliminati e i Comuni, le Province e le Città Metropolitane </w:t>
      </w:r>
      <w:r w:rsidR="001954B0">
        <w:t xml:space="preserve">potevano liberarsi dei vincoli tariffari imposti e adottare </w:t>
      </w:r>
      <w:r>
        <w:t xml:space="preserve">piani tariffari </w:t>
      </w:r>
      <w:r w:rsidR="001954B0">
        <w:t xml:space="preserve">(per lo più costruiti con coefficienti moltiplicatori) </w:t>
      </w:r>
      <w:r>
        <w:t>che dovevano rispettare gli equilibri finanziari</w:t>
      </w:r>
      <w:r w:rsidR="0011755A">
        <w:t xml:space="preserve"> dell’ente</w:t>
      </w:r>
      <w:r>
        <w:t xml:space="preserve"> e i principi generali di gradualità </w:t>
      </w:r>
      <w:r w:rsidR="00A152AE">
        <w:t>e proporzionalità</w:t>
      </w:r>
      <w:r>
        <w:t>. Nessuno parlò di invarianza di gettito o di limiti da rispettare per gli aumenti</w:t>
      </w:r>
      <w:r w:rsidR="00A152AE">
        <w:t>, che dovevano naturalmente</w:t>
      </w:r>
      <w:r w:rsidR="00FC3AA7">
        <w:t>,</w:t>
      </w:r>
      <w:r w:rsidR="00A152AE">
        <w:t xml:space="preserve"> se previsti</w:t>
      </w:r>
      <w:r w:rsidR="00FC3AA7">
        <w:t>,</w:t>
      </w:r>
      <w:r w:rsidR="00A152AE">
        <w:t xml:space="preserve"> essere </w:t>
      </w:r>
      <w:r w:rsidR="00FC3AA7">
        <w:t xml:space="preserve">debitamente </w:t>
      </w:r>
      <w:r w:rsidR="00A152AE">
        <w:t>motivati</w:t>
      </w:r>
      <w:r>
        <w:t xml:space="preserve">. Tutto </w:t>
      </w:r>
      <w:r w:rsidR="00A152AE">
        <w:t xml:space="preserve">pertanto </w:t>
      </w:r>
      <w:r>
        <w:t>rientrava nelle regole generali che disciplinavano l’autonomia riconosciuta agli enti in materia di proprie entrate.</w:t>
      </w:r>
    </w:p>
    <w:p w14:paraId="3695B57A" w14:textId="4C1AAA02" w:rsidR="007E3B54" w:rsidRDefault="007E3B54" w:rsidP="00965F74">
      <w:pPr>
        <w:jc w:val="both"/>
      </w:pPr>
      <w:r>
        <w:t xml:space="preserve">Perché </w:t>
      </w:r>
      <w:r w:rsidR="00A152AE">
        <w:t xml:space="preserve">mai </w:t>
      </w:r>
      <w:r>
        <w:t xml:space="preserve">dovrebbe cambiare l’impostazione del CUP rispetto al COSAP? L’attuale entrata è quella che più presenta caratteristiche </w:t>
      </w:r>
      <w:r w:rsidR="00A152AE">
        <w:t xml:space="preserve">simili </w:t>
      </w:r>
      <w:r>
        <w:t xml:space="preserve">con il COSAP, l’unica entrata dei prelievi precedenti che </w:t>
      </w:r>
      <w:r w:rsidR="00FC3AA7">
        <w:t>aveva assunto la</w:t>
      </w:r>
      <w:r>
        <w:t xml:space="preserve"> qualifica di entrata patrimoniale.</w:t>
      </w:r>
    </w:p>
    <w:p w14:paraId="3B43800A" w14:textId="5D90C45D" w:rsidR="00A632D0" w:rsidRDefault="00A632D0" w:rsidP="00965F74">
      <w:pPr>
        <w:jc w:val="both"/>
      </w:pPr>
      <w:r>
        <w:t xml:space="preserve">Tornando al quesito, cosa avrebbero potuto fare i Comuni dal 2021 in avanti </w:t>
      </w:r>
      <w:r w:rsidR="00FC3AA7">
        <w:t xml:space="preserve">se ci fosse stata </w:t>
      </w:r>
      <w:r>
        <w:t xml:space="preserve">continuità </w:t>
      </w:r>
      <w:r w:rsidR="00FC3AA7">
        <w:t>con i prelievi precedenti</w:t>
      </w:r>
      <w:r>
        <w:t>?</w:t>
      </w:r>
    </w:p>
    <w:p w14:paraId="707AB76F" w14:textId="0B5A6267" w:rsidR="00A632D0" w:rsidRDefault="00A632D0" w:rsidP="00965F74">
      <w:pPr>
        <w:jc w:val="both"/>
      </w:pPr>
      <w:r>
        <w:t>Per il prelievo dedicato alle diffusioni pubblicitarie, sia in regime ICP che CIMP avrebbero potuto deliberare un aumento delle tariffe fino alla concorrenza del limite massimo stabilito dal Legislatore.</w:t>
      </w:r>
    </w:p>
    <w:p w14:paraId="62CA5A1D" w14:textId="7D69386A" w:rsidR="00A632D0" w:rsidRDefault="00A632D0" w:rsidP="00965F74">
      <w:pPr>
        <w:jc w:val="both"/>
      </w:pPr>
      <w:r>
        <w:t xml:space="preserve">Per il prelievo dedicato alle occupazioni di suolo pubblico, in caso di regime TOSAP avrebbero </w:t>
      </w:r>
      <w:r w:rsidR="00FC3AA7">
        <w:t xml:space="preserve">altrettanto </w:t>
      </w:r>
      <w:r>
        <w:t>potuto deliberare un aumento delle tariffe fino alla concorrenza del limite massimo stabilito dal Legislatore; mentre</w:t>
      </w:r>
      <w:r w:rsidR="00FC3AA7">
        <w:t>,</w:t>
      </w:r>
      <w:r>
        <w:t xml:space="preserve"> quelle amministrazioni locali che erano </w:t>
      </w:r>
      <w:r w:rsidR="00FC3AA7">
        <w:t xml:space="preserve">nel frattempo </w:t>
      </w:r>
      <w:r>
        <w:t>passate a COSAP</w:t>
      </w:r>
      <w:r w:rsidR="00FC3AA7">
        <w:t>,</w:t>
      </w:r>
      <w:r>
        <w:t xml:space="preserve"> avrebbero potuto </w:t>
      </w:r>
      <w:r w:rsidR="00FC3AA7">
        <w:t xml:space="preserve">legittimamente </w:t>
      </w:r>
      <w:r>
        <w:t>modificare le tariffe senza nessun vincolo tariffario</w:t>
      </w:r>
      <w:r w:rsidR="00FC3AA7">
        <w:t xml:space="preserve">. Solo seguendo e rispettando </w:t>
      </w:r>
      <w:r>
        <w:t>i principi generali che regolano le entrate di natura fiscale.</w:t>
      </w:r>
    </w:p>
    <w:p w14:paraId="19158B94" w14:textId="77F30B1F" w:rsidR="00A632D0" w:rsidRDefault="0040481A" w:rsidP="00965F74">
      <w:pPr>
        <w:jc w:val="both"/>
      </w:pPr>
      <w:r>
        <w:t>P</w:t>
      </w:r>
      <w:r w:rsidR="00A632D0">
        <w:t xml:space="preserve">er quale motivo si dovrebbe oggi ipotizzare che la modifica del gettito sia totalmente preclusa a data indefinita? Dopo 5 anni ha ancora senso non aggiornare il proprio impianto tariffario in ragione delle esigenze di bilancio e in considerazione di quelli che sono i sacrifici che si impongono alla collettività </w:t>
      </w:r>
      <w:r w:rsidR="00FC3AA7">
        <w:t xml:space="preserve">oltre </w:t>
      </w:r>
      <w:r w:rsidR="00A632D0">
        <w:t>ai costi che l’ente deve sopportare per la presenza dei manufatti che rientrano nel presupposto CUP? Un metro quadrato di suolo pubblico o di superficie espositiva</w:t>
      </w:r>
      <w:r w:rsidR="00FC3AA7">
        <w:t xml:space="preserve"> pubblicitaria potrà valere di più rispetto al</w:t>
      </w:r>
      <w:r>
        <w:t xml:space="preserve"> valore </w:t>
      </w:r>
      <w:proofErr w:type="gramStart"/>
      <w:r>
        <w:t xml:space="preserve">del </w:t>
      </w:r>
      <w:r w:rsidR="00FC3AA7">
        <w:t xml:space="preserve"> 2021</w:t>
      </w:r>
      <w:proofErr w:type="gramEnd"/>
      <w:r>
        <w:t xml:space="preserve">? </w:t>
      </w:r>
      <w:r w:rsidR="00A632D0">
        <w:t xml:space="preserve">Evidentemente si, quanto meno </w:t>
      </w:r>
      <w:r w:rsidR="00FC3AA7">
        <w:t xml:space="preserve">da </w:t>
      </w:r>
      <w:r>
        <w:t>quanto</w:t>
      </w:r>
      <w:r w:rsidR="00FC3AA7">
        <w:t xml:space="preserve"> emerge </w:t>
      </w:r>
      <w:r w:rsidR="00A632D0">
        <w:t>dai dati Istat registrati negli ultimi anni</w:t>
      </w:r>
      <w:r w:rsidR="00FC3AA7">
        <w:t xml:space="preserve">, dove si è registrato un </w:t>
      </w:r>
      <w:r>
        <w:t xml:space="preserve">sensibile </w:t>
      </w:r>
      <w:r w:rsidR="00FC3AA7">
        <w:t>aumento</w:t>
      </w:r>
      <w:r w:rsidR="00A632D0">
        <w:t xml:space="preserve"> del costo della vita</w:t>
      </w:r>
      <w:r>
        <w:t>.</w:t>
      </w:r>
    </w:p>
    <w:p w14:paraId="598EFEDA" w14:textId="42FC1D9D" w:rsidR="00D96F95" w:rsidRDefault="00D96F95" w:rsidP="00965F74">
      <w:pPr>
        <w:jc w:val="both"/>
      </w:pPr>
      <w:r>
        <w:lastRenderedPageBreak/>
        <w:t>Concludendo, preso atto della posizione del Dipartimento del MEF,</w:t>
      </w:r>
      <w:r w:rsidR="0040481A">
        <w:t xml:space="preserve"> che probabilmente teme che alcuni Enti possano aumentare senza controllo le tariffe e il gettito, </w:t>
      </w:r>
      <w:r>
        <w:t xml:space="preserve"> si continua, a ritenere come legittima la possibilità di </w:t>
      </w:r>
      <w:r w:rsidR="0040481A">
        <w:t>incrementare l’entrata</w:t>
      </w:r>
      <w:r>
        <w:t xml:space="preserve"> da parte degli Enti locali, purché non venga mai superato quel limite invisibile </w:t>
      </w:r>
      <w:r w:rsidR="00146573">
        <w:t>definito</w:t>
      </w:r>
      <w:r w:rsidR="00086642">
        <w:t xml:space="preserve">, utilizzando le parole del Legislatore, </w:t>
      </w:r>
      <w:r w:rsidR="00086642" w:rsidRPr="00086642">
        <w:t>secondo criteri di ragionevolezza e di gradualità in ragione dell'impatto ambientale e urbanistico delle occupazioni e delle esposizioni pubblicitarie oggetto del canone</w:t>
      </w:r>
      <w:r w:rsidR="00086642">
        <w:rPr>
          <w:i/>
          <w:iCs/>
        </w:rPr>
        <w:t>.</w:t>
      </w:r>
    </w:p>
    <w:p w14:paraId="0F32ABF5" w14:textId="77777777" w:rsidR="004871C6" w:rsidRDefault="004871C6" w:rsidP="004871C6">
      <w:pPr>
        <w:jc w:val="both"/>
      </w:pPr>
    </w:p>
    <w:sectPr w:rsidR="004871C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47338"/>
    <w:multiLevelType w:val="hybridMultilevel"/>
    <w:tmpl w:val="617E9D5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D421EB"/>
    <w:multiLevelType w:val="hybridMultilevel"/>
    <w:tmpl w:val="1D68A3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509789">
    <w:abstractNumId w:val="0"/>
  </w:num>
  <w:num w:numId="2" w16cid:durableId="1973511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05"/>
    <w:rsid w:val="00046F86"/>
    <w:rsid w:val="00060149"/>
    <w:rsid w:val="00086642"/>
    <w:rsid w:val="000B367C"/>
    <w:rsid w:val="0011755A"/>
    <w:rsid w:val="00146573"/>
    <w:rsid w:val="001954B0"/>
    <w:rsid w:val="001B6B7D"/>
    <w:rsid w:val="00287750"/>
    <w:rsid w:val="002A0B77"/>
    <w:rsid w:val="003860E2"/>
    <w:rsid w:val="003B724D"/>
    <w:rsid w:val="003F48FD"/>
    <w:rsid w:val="0040481A"/>
    <w:rsid w:val="004062A7"/>
    <w:rsid w:val="0045758C"/>
    <w:rsid w:val="004871C6"/>
    <w:rsid w:val="004C2B9F"/>
    <w:rsid w:val="00592394"/>
    <w:rsid w:val="005F6FE5"/>
    <w:rsid w:val="00600759"/>
    <w:rsid w:val="00663346"/>
    <w:rsid w:val="006A189A"/>
    <w:rsid w:val="007B1496"/>
    <w:rsid w:val="007E1A68"/>
    <w:rsid w:val="007E3B54"/>
    <w:rsid w:val="00801109"/>
    <w:rsid w:val="00810822"/>
    <w:rsid w:val="00846907"/>
    <w:rsid w:val="0089523F"/>
    <w:rsid w:val="008A0104"/>
    <w:rsid w:val="009356C7"/>
    <w:rsid w:val="00965F74"/>
    <w:rsid w:val="009B6F09"/>
    <w:rsid w:val="00A05263"/>
    <w:rsid w:val="00A152AE"/>
    <w:rsid w:val="00A632D0"/>
    <w:rsid w:val="00AE27D9"/>
    <w:rsid w:val="00B37FA0"/>
    <w:rsid w:val="00B86497"/>
    <w:rsid w:val="00B949C5"/>
    <w:rsid w:val="00BE3440"/>
    <w:rsid w:val="00D114E9"/>
    <w:rsid w:val="00D96F95"/>
    <w:rsid w:val="00DC7705"/>
    <w:rsid w:val="00FC3AA7"/>
    <w:rsid w:val="00FE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CBC7D"/>
  <w15:chartTrackingRefBased/>
  <w15:docId w15:val="{BF2860C1-3551-4C5D-A5FD-DC243807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C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C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C7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7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7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C7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C7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770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770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770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770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770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770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7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770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C770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770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7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770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C7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5</Pages>
  <Words>2154</Words>
  <Characters>12283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23</cp:revision>
  <dcterms:created xsi:type="dcterms:W3CDTF">2025-02-10T08:26:00Z</dcterms:created>
  <dcterms:modified xsi:type="dcterms:W3CDTF">2025-02-13T16:41:00Z</dcterms:modified>
</cp:coreProperties>
</file>