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3B92" w14:textId="2EA0E128" w:rsidR="006672EA" w:rsidRDefault="00AD4341">
      <w:r>
        <w:t>Titolo:</w:t>
      </w:r>
      <w:r w:rsidR="00261076">
        <w:t xml:space="preserve"> CUP - </w:t>
      </w:r>
      <w:r>
        <w:t xml:space="preserve"> </w:t>
      </w:r>
      <w:r w:rsidR="00264285">
        <w:t xml:space="preserve">L’avviso di scadenza </w:t>
      </w:r>
      <w:r w:rsidR="00261076">
        <w:t xml:space="preserve">2024 </w:t>
      </w:r>
    </w:p>
    <w:p w14:paraId="7A82BD56" w14:textId="576182F2" w:rsidR="004F300D" w:rsidRDefault="00264285" w:rsidP="002F2E55">
      <w:pPr>
        <w:jc w:val="both"/>
      </w:pPr>
      <w:r>
        <w:t xml:space="preserve">Gennaio, mese in cui </w:t>
      </w:r>
      <w:r w:rsidR="00261076">
        <w:t>storicamente</w:t>
      </w:r>
      <w:r>
        <w:t xml:space="preserve"> i Comuni si organizza</w:t>
      </w:r>
      <w:r w:rsidR="00261076">
        <w:t>va</w:t>
      </w:r>
      <w:r>
        <w:t xml:space="preserve">no per inviare le richieste </w:t>
      </w:r>
      <w:r w:rsidR="00261076">
        <w:t xml:space="preserve">annuali </w:t>
      </w:r>
      <w:r>
        <w:t xml:space="preserve">di pagamento ai contribuenti dell’ICP, l’Imposta Comunale sulla Pubblicità e della TOSAP o COSAP per le occupazioni di suolo pubblico. </w:t>
      </w:r>
    </w:p>
    <w:p w14:paraId="3DC3A68A" w14:textId="22156499" w:rsidR="00264285" w:rsidRDefault="00261076" w:rsidP="002F2E55">
      <w:pPr>
        <w:jc w:val="both"/>
      </w:pPr>
      <w:r>
        <w:t>Oggi, c</w:t>
      </w:r>
      <w:r w:rsidR="00264285">
        <w:t>on l’introduzione del Canone Unico Patrimoniale</w:t>
      </w:r>
      <w:r>
        <w:t xml:space="preserve">, questa scadenza è stata riproposta nella maggior parte dei Regolamenti di disciplina del Canone, ma </w:t>
      </w:r>
      <w:r w:rsidR="00264285">
        <w:t xml:space="preserve">ha ancora senso inviare le richieste di pagamento per quelle occupazioni di suolo ed esposizioni pubblicitarie permanenti la cui durata è pluriennale? Quale controllo </w:t>
      </w:r>
      <w:r>
        <w:t xml:space="preserve">periodico </w:t>
      </w:r>
      <w:r w:rsidR="00264285">
        <w:t>viene fatto</w:t>
      </w:r>
      <w:r w:rsidR="00330CEB">
        <w:t>, o dovrebbe essere fatto,</w:t>
      </w:r>
      <w:r w:rsidR="00264285">
        <w:t xml:space="preserve"> sulla validità delle autorizzazioni e concessioni? Come comportarci per quelle posizioni che vedono l’atto amministrativo scaduto o mai perfezionato?</w:t>
      </w:r>
    </w:p>
    <w:p w14:paraId="7973E984" w14:textId="53ADC21C" w:rsidR="00264285" w:rsidRDefault="00264285" w:rsidP="002F2E55">
      <w:pPr>
        <w:jc w:val="both"/>
      </w:pPr>
      <w:r>
        <w:t>Questi gli interrogativi che dovremmo porci</w:t>
      </w:r>
      <w:r w:rsidR="00EF0C18">
        <w:t xml:space="preserve"> </w:t>
      </w:r>
      <w:r>
        <w:t>prima di organizzare</w:t>
      </w:r>
      <w:r w:rsidR="00EF0C18">
        <w:t xml:space="preserve"> il consueto </w:t>
      </w:r>
      <w:r>
        <w:t>invio delle richieste di pagamento per l’anno solare corrente.</w:t>
      </w:r>
    </w:p>
    <w:p w14:paraId="4FD28ECA" w14:textId="3C0136A1" w:rsidR="00264285" w:rsidRDefault="00264285" w:rsidP="002F2E55">
      <w:pPr>
        <w:jc w:val="both"/>
      </w:pPr>
      <w:r>
        <w:t>Eppure molte Amministrazioni locali continuano a comportarsi</w:t>
      </w:r>
      <w:r w:rsidR="00330CEB">
        <w:t xml:space="preserve"> esattamente</w:t>
      </w:r>
      <w:r>
        <w:t xml:space="preserve"> come prima, quando il pagamento della pubblicità o dell’occupazione del suolo pubblico era</w:t>
      </w:r>
      <w:r w:rsidR="00EF0C18">
        <w:t xml:space="preserve"> completamente </w:t>
      </w:r>
      <w:r w:rsidR="00330CEB">
        <w:t>scollegato</w:t>
      </w:r>
      <w:r>
        <w:t xml:space="preserve"> dalla autorizzazione </w:t>
      </w:r>
      <w:r w:rsidR="00EF0C18">
        <w:t>o</w:t>
      </w:r>
      <w:r>
        <w:t xml:space="preserve"> dalla concessione.</w:t>
      </w:r>
    </w:p>
    <w:p w14:paraId="25D7D847" w14:textId="60F86878" w:rsidR="00D06891" w:rsidRDefault="00264285" w:rsidP="002F2E55">
      <w:pPr>
        <w:jc w:val="both"/>
      </w:pPr>
      <w:r>
        <w:t xml:space="preserve">Oggi </w:t>
      </w:r>
      <w:r w:rsidR="00330CEB">
        <w:t>tuttavia</w:t>
      </w:r>
      <w:r w:rsidR="00EF0C18">
        <w:t xml:space="preserve"> </w:t>
      </w:r>
      <w:r>
        <w:t xml:space="preserve">è </w:t>
      </w:r>
      <w:r w:rsidR="00EF0C18">
        <w:t xml:space="preserve">indispensabile </w:t>
      </w:r>
      <w:r>
        <w:t xml:space="preserve">superare il vecchio modello gestionale in uso con i precedenti prelievi. La normativa ci impone delle </w:t>
      </w:r>
      <w:r w:rsidR="00EF0C18">
        <w:t>regole</w:t>
      </w:r>
      <w:r>
        <w:t xml:space="preserve"> comportamentali diverse. Non ha più logica </w:t>
      </w:r>
      <w:r w:rsidR="00EF0C18">
        <w:t>né</w:t>
      </w:r>
      <w:r>
        <w:t xml:space="preserve"> legittimità, inviare una richiesta di pagamento del Canone per quelle posizioni che non sono più regolari</w:t>
      </w:r>
      <w:r w:rsidR="00EF0C18">
        <w:t>, o non lo sono mai state</w:t>
      </w:r>
      <w:r>
        <w:t xml:space="preserve">. Situazioni che il Legislatore ha </w:t>
      </w:r>
      <w:r w:rsidR="00EF0C18">
        <w:t xml:space="preserve">voluto </w:t>
      </w:r>
      <w:r>
        <w:t>disciplina</w:t>
      </w:r>
      <w:r w:rsidR="00EF0C18">
        <w:t>re</w:t>
      </w:r>
      <w:r>
        <w:t xml:space="preserve"> in modo diverso, prevedendo </w:t>
      </w:r>
      <w:r w:rsidR="00D06891">
        <w:t>non tanto il pagamento del canone, ma</w:t>
      </w:r>
      <w:r w:rsidR="00EF0C18">
        <w:t xml:space="preserve"> piuttosto </w:t>
      </w:r>
      <w:r w:rsidR="00D06891">
        <w:t>dell’indennità e della sanzione amministrativa, voci di entrata previsti dall’articolo 1, comma 821, lettera G e H della Legge 160/2019</w:t>
      </w:r>
      <w:r w:rsidR="000F3B8E">
        <w:t>, la cui applicazione deve essere contestata al trasgressore per mezzo di Avviso di Accertamento ex comma 792 L. 160/2019</w:t>
      </w:r>
      <w:r w:rsidR="00D06891">
        <w:t>.</w:t>
      </w:r>
    </w:p>
    <w:p w14:paraId="6A5339B0" w14:textId="2B24C174" w:rsidR="00264285" w:rsidRDefault="00D06891" w:rsidP="002F2E55">
      <w:pPr>
        <w:jc w:val="both"/>
      </w:pPr>
      <w:r>
        <w:t xml:space="preserve">Ecco </w:t>
      </w:r>
      <w:r w:rsidR="00EF0C18">
        <w:t xml:space="preserve">quindi </w:t>
      </w:r>
      <w:r>
        <w:t>che le banche dati devono essere aggiornate</w:t>
      </w:r>
      <w:r w:rsidR="000F3B8E">
        <w:t>,</w:t>
      </w:r>
      <w:r>
        <w:t xml:space="preserve"> riportando, per ciascun oggetto rilevante ai fini del presupposto applicativo, gli estremi della concessione e la sua durata. Il gestionale dovrà quindi prevedere, oltre che il calcolo per il nuovo anno </w:t>
      </w:r>
      <w:r w:rsidR="00883D77">
        <w:t>aggiorna</w:t>
      </w:r>
      <w:r w:rsidR="00EF0C18">
        <w:t>to con</w:t>
      </w:r>
      <w:r>
        <w:t xml:space="preserve"> le tariffe</w:t>
      </w:r>
      <w:r w:rsidR="00EF0C18">
        <w:t xml:space="preserve"> deliberate per il 2024, anche la cernita degli oggetti la cui posizione amministrativa è ancora in vigore, rispetto a quelli che, come detto</w:t>
      </w:r>
      <w:r w:rsidR="000F3B8E">
        <w:t>,</w:t>
      </w:r>
      <w:r w:rsidR="00EF0C18">
        <w:t xml:space="preserve"> hanno il titolo scaduto.</w:t>
      </w:r>
    </w:p>
    <w:p w14:paraId="69443295" w14:textId="663CA673" w:rsidR="00EF0C18" w:rsidRDefault="00EF0C18" w:rsidP="002F2E55">
      <w:pPr>
        <w:jc w:val="both"/>
      </w:pPr>
      <w:r>
        <w:t>Per far questo occorre un aggiornamento che preveda il governo di queste informazioni</w:t>
      </w:r>
      <w:r w:rsidR="000F3B8E">
        <w:t xml:space="preserve"> e da parte dell</w:t>
      </w:r>
      <w:r>
        <w:t>’</w:t>
      </w:r>
      <w:r w:rsidR="000F3B8E">
        <w:t>ufficio</w:t>
      </w:r>
      <w:r>
        <w:t xml:space="preserve"> preposto </w:t>
      </w:r>
      <w:r w:rsidR="000F3B8E">
        <w:t>occorrerà un lavoro di popolamento</w:t>
      </w:r>
      <w:r>
        <w:t xml:space="preserve"> per tutte le posizioni a ruolo. Un lavoro impegnativo che vedrà </w:t>
      </w:r>
      <w:r w:rsidR="000F3B8E">
        <w:t>incrociare sia</w:t>
      </w:r>
      <w:r>
        <w:t xml:space="preserve"> le informazioni legate al prelievo </w:t>
      </w:r>
      <w:r w:rsidR="000F3B8E">
        <w:t>che</w:t>
      </w:r>
      <w:r>
        <w:t xml:space="preserve"> quelle documentali legate al rilascio delle autorizzazioni e </w:t>
      </w:r>
      <w:r w:rsidR="000F3B8E">
        <w:t xml:space="preserve">delle </w:t>
      </w:r>
      <w:r>
        <w:t xml:space="preserve">concessioni. </w:t>
      </w:r>
      <w:r w:rsidR="000F3B8E">
        <w:t>Insomma un</w:t>
      </w:r>
      <w:r>
        <w:t xml:space="preserve"> sistema di gestione totalmente differente da quello usato nel passato.</w:t>
      </w:r>
    </w:p>
    <w:p w14:paraId="72BFB85C" w14:textId="7DCE3130" w:rsidR="00EF0C18" w:rsidRDefault="00EF0C18" w:rsidP="002F2E55">
      <w:pPr>
        <w:jc w:val="both"/>
      </w:pPr>
      <w:r>
        <w:t>È la sinergia tra uffici che permetter</w:t>
      </w:r>
      <w:r w:rsidR="000F3B8E">
        <w:t>à</w:t>
      </w:r>
      <w:r>
        <w:t xml:space="preserve"> la buona gestione dell’entrata. Un dialogo e uno scambio di informazioni</w:t>
      </w:r>
      <w:r w:rsidR="000F3B8E">
        <w:t xml:space="preserve">, </w:t>
      </w:r>
      <w:r>
        <w:t>in continuo aggiornamento</w:t>
      </w:r>
      <w:r w:rsidR="000F3B8E">
        <w:t>,</w:t>
      </w:r>
      <w:r>
        <w:t xml:space="preserve"> che non </w:t>
      </w:r>
      <w:r w:rsidR="000F3B8E">
        <w:t>potrà</w:t>
      </w:r>
      <w:r>
        <w:t xml:space="preserve"> più essere ignorato. Un </w:t>
      </w:r>
      <w:r w:rsidR="000F3B8E">
        <w:t>metodo</w:t>
      </w:r>
      <w:r>
        <w:t xml:space="preserve"> di affrontare il lavoro che </w:t>
      </w:r>
      <w:r w:rsidR="000F3B8E">
        <w:t>non può più p</w:t>
      </w:r>
      <w:r>
        <w:t>rescind</w:t>
      </w:r>
      <w:r w:rsidR="000F3B8E">
        <w:t>ere</w:t>
      </w:r>
      <w:r>
        <w:t xml:space="preserve"> dall’analisi del titolo </w:t>
      </w:r>
      <w:r w:rsidR="000F3B8E">
        <w:t>amministrativo</w:t>
      </w:r>
      <w:r>
        <w:t xml:space="preserve"> rispetto alla presenza </w:t>
      </w:r>
      <w:r w:rsidR="000F3B8E">
        <w:t xml:space="preserve">fisica </w:t>
      </w:r>
      <w:r>
        <w:t xml:space="preserve">sul </w:t>
      </w:r>
      <w:r w:rsidR="000F3B8E">
        <w:t>territorio</w:t>
      </w:r>
      <w:r>
        <w:t xml:space="preserve"> di </w:t>
      </w:r>
      <w:r w:rsidR="000F3B8E">
        <w:t>esposizioni</w:t>
      </w:r>
      <w:r>
        <w:t xml:space="preserve"> pubblicitarie e occupazioni di suolo pubblico.</w:t>
      </w:r>
    </w:p>
    <w:p w14:paraId="51BEEF4D" w14:textId="5FBBBAEC" w:rsidR="00EF0C18" w:rsidRDefault="000F3B8E" w:rsidP="002F2E55">
      <w:pPr>
        <w:jc w:val="both"/>
      </w:pPr>
      <w:r>
        <w:t>Con questo approccio</w:t>
      </w:r>
      <w:r w:rsidR="00EF0C18">
        <w:t xml:space="preserve"> si possono aprire scenari nuovi e interessanti che coinvolgeranno più settori dell’amministrazione locale, con un impegno fattivo dell’ufficio tecnico, dell’ufficio entrate, della Polizia Municipale e degli Agenti Accertatori </w:t>
      </w:r>
      <w:r w:rsidR="00C10458">
        <w:t xml:space="preserve">come pubblici ufficiali addetti alla rilevazione sul </w:t>
      </w:r>
      <w:r>
        <w:t>territorio in materia di tributi ed entrate locali</w:t>
      </w:r>
      <w:r w:rsidR="00C10458">
        <w:t>.</w:t>
      </w:r>
    </w:p>
    <w:p w14:paraId="5F233037" w14:textId="5EFA09DC" w:rsidR="00C10458" w:rsidRDefault="00C10458" w:rsidP="002F2E55">
      <w:pPr>
        <w:jc w:val="both"/>
      </w:pPr>
      <w:r>
        <w:t xml:space="preserve">Insomma una organizzazione complessa necessaria per il </w:t>
      </w:r>
      <w:r w:rsidR="008C66AC">
        <w:t>corretto</w:t>
      </w:r>
      <w:r>
        <w:t xml:space="preserve"> invio delle richieste di pagamento per l’anno 2024</w:t>
      </w:r>
      <w:r w:rsidR="008C66AC">
        <w:t xml:space="preserve">, che vedrà la spedizione di inviti </w:t>
      </w:r>
      <w:r>
        <w:t xml:space="preserve">al pagamento del canone </w:t>
      </w:r>
      <w:r w:rsidR="008C66AC">
        <w:t xml:space="preserve">solo per </w:t>
      </w:r>
      <w:r>
        <w:t>quei soggetti titolari di esposizioni e occupazioni in regola con gli atti amministrativi, e notificando invece</w:t>
      </w:r>
      <w:r w:rsidR="008C66AC">
        <w:t>,</w:t>
      </w:r>
      <w:r>
        <w:t xml:space="preserve"> nelle altre ipotesi</w:t>
      </w:r>
      <w:r w:rsidR="008C66AC">
        <w:t>,</w:t>
      </w:r>
      <w:r>
        <w:t xml:space="preserve"> degli avvisi di accertamento per il recupero delle indennità e delle sanzioni</w:t>
      </w:r>
      <w:r w:rsidR="008C66AC">
        <w:t xml:space="preserve"> riferite ad occupazioni o diffusioni pubblicitarie abusive o con il tiolo scaduto. </w:t>
      </w:r>
      <w:r>
        <w:t xml:space="preserve">Un’attività complessa e sicuramente impopolare rispetto alle </w:t>
      </w:r>
      <w:r w:rsidR="008C66AC">
        <w:lastRenderedPageBreak/>
        <w:t>consuetudini</w:t>
      </w:r>
      <w:r>
        <w:t xml:space="preserve"> che vedevano, e in larga parte vedono ancora, gli enti territoriali, spedire gli avvisi di scadenza per il pagamento dell’anno corrente</w:t>
      </w:r>
      <w:r w:rsidR="008C66AC">
        <w:t>, indifferentemente a tutti, regolari e non</w:t>
      </w:r>
      <w:r>
        <w:t xml:space="preserve">. </w:t>
      </w:r>
    </w:p>
    <w:p w14:paraId="303B003B" w14:textId="77777777" w:rsidR="00D06891" w:rsidRPr="002F2E55" w:rsidRDefault="00D06891" w:rsidP="002F2E55">
      <w:pPr>
        <w:jc w:val="both"/>
      </w:pPr>
    </w:p>
    <w:sectPr w:rsidR="00D06891" w:rsidRPr="002F2E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e Serif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96"/>
    <w:rsid w:val="00040972"/>
    <w:rsid w:val="00052661"/>
    <w:rsid w:val="000A346B"/>
    <w:rsid w:val="000B1EF8"/>
    <w:rsid w:val="000F3B8E"/>
    <w:rsid w:val="000F5A1F"/>
    <w:rsid w:val="000F771A"/>
    <w:rsid w:val="00140596"/>
    <w:rsid w:val="001A34F8"/>
    <w:rsid w:val="00215F68"/>
    <w:rsid w:val="00254B40"/>
    <w:rsid w:val="00261076"/>
    <w:rsid w:val="00264285"/>
    <w:rsid w:val="002F2E55"/>
    <w:rsid w:val="002F50F5"/>
    <w:rsid w:val="00312E30"/>
    <w:rsid w:val="00330CEB"/>
    <w:rsid w:val="003E7DE7"/>
    <w:rsid w:val="00435360"/>
    <w:rsid w:val="00485CDB"/>
    <w:rsid w:val="004F300D"/>
    <w:rsid w:val="005176C9"/>
    <w:rsid w:val="00526767"/>
    <w:rsid w:val="0061005B"/>
    <w:rsid w:val="00632099"/>
    <w:rsid w:val="006672EA"/>
    <w:rsid w:val="00702FC2"/>
    <w:rsid w:val="007665E7"/>
    <w:rsid w:val="007C791B"/>
    <w:rsid w:val="00883D77"/>
    <w:rsid w:val="00894741"/>
    <w:rsid w:val="008C66AC"/>
    <w:rsid w:val="008E3E79"/>
    <w:rsid w:val="00AC0844"/>
    <w:rsid w:val="00AD4341"/>
    <w:rsid w:val="00B415F7"/>
    <w:rsid w:val="00B54CD7"/>
    <w:rsid w:val="00B9520D"/>
    <w:rsid w:val="00C10458"/>
    <w:rsid w:val="00CA640A"/>
    <w:rsid w:val="00D06891"/>
    <w:rsid w:val="00D16719"/>
    <w:rsid w:val="00D635A5"/>
    <w:rsid w:val="00DE7628"/>
    <w:rsid w:val="00EB66A3"/>
    <w:rsid w:val="00EF0C18"/>
    <w:rsid w:val="00F46059"/>
    <w:rsid w:val="00FD5171"/>
    <w:rsid w:val="00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5562"/>
  <w15:chartTrackingRefBased/>
  <w15:docId w15:val="{B025EA0C-0724-45A7-A5F5-8FCFBFAB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AD4341"/>
    <w:pPr>
      <w:autoSpaceDE w:val="0"/>
      <w:autoSpaceDN w:val="0"/>
      <w:adjustRightInd w:val="0"/>
      <w:spacing w:after="0" w:line="240" w:lineRule="auto"/>
    </w:pPr>
    <w:rPr>
      <w:rFonts w:ascii="Sole Serif Text" w:hAnsi="Sole Serif Text" w:cs="Sole Serif Text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10</cp:revision>
  <dcterms:created xsi:type="dcterms:W3CDTF">2023-12-16T17:31:00Z</dcterms:created>
  <dcterms:modified xsi:type="dcterms:W3CDTF">2024-01-14T14:55:00Z</dcterms:modified>
</cp:coreProperties>
</file>