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363F2" w14:textId="0036BD2D" w:rsidR="00060149" w:rsidRDefault="00632584">
      <w:r>
        <w:t xml:space="preserve">Titolo: </w:t>
      </w:r>
      <w:r w:rsidRPr="00632584">
        <w:t>L’estensione frontale dei dehor non deve essere superiore a quella detenuta dall’esercizio pubblico</w:t>
      </w:r>
    </w:p>
    <w:p w14:paraId="38B764CB" w14:textId="6A1EE795" w:rsidR="00632584" w:rsidRDefault="00632584">
      <w:r>
        <w:t>Di Alessandro Merciari</w:t>
      </w:r>
    </w:p>
    <w:p w14:paraId="2FD10197" w14:textId="3CC5ED5C" w:rsidR="00632584" w:rsidRDefault="00632584" w:rsidP="00632584">
      <w:pPr>
        <w:jc w:val="both"/>
      </w:pPr>
      <w:r>
        <w:t>Una regola spesso inserita nelle discipline regolamentari nella parte dedicata al rilascio delle concessioni per l’occupazione suolo pubblico realizzata da locali di somministrazione e in genere da attività commerciali, consiste nel vincolo che l’estensione dell’occupazione sul fronte del locale non deve superare quella detenuta dall’esercizio pubblico stesso, salvo un espresso nulla osta da parte dei proprietari di immobili sul cui fronte verrebbe posizionata parte dell’occupazione richiesta.</w:t>
      </w:r>
    </w:p>
    <w:p w14:paraId="400139FE" w14:textId="0DD53EA8" w:rsidR="00632584" w:rsidRDefault="00632584" w:rsidP="00632584">
      <w:pPr>
        <w:jc w:val="both"/>
      </w:pPr>
      <w:r>
        <w:t>Tema molto delicato che coinvolge molti comuni, soprattutto a vocazione turistica, dove le strade centrali sono invase da occupazioni di bar e ristoranti che spesso impediscono la libera fruizione di spazi pubblici in aree antistanti altre proprietà. Abitanti di centri storici che la sera faticano a rientrare a casa per l’ingombrante presenza di tavoli e sedie occupate da avventori che cenano davanti al portoni di casa.</w:t>
      </w:r>
    </w:p>
    <w:p w14:paraId="261DF667" w14:textId="43130063" w:rsidR="00632584" w:rsidRDefault="00632584" w:rsidP="00632584">
      <w:pPr>
        <w:jc w:val="both"/>
      </w:pPr>
      <w:r>
        <w:t>Come tutelare la cittadinanza residente da questa abitudine ad occupare il suolo pubblico per favorire le attività di ristorazione nei centri storici? Inserire clausole nel regolamento CUP rappresenta sicuramente un deterrente e uno strumento utile agli uffici comunali per gestire al meglio le istruttorie di domande d’occupazione suolo pubblico.</w:t>
      </w:r>
    </w:p>
    <w:p w14:paraId="3EBDDEED" w14:textId="508D6084" w:rsidR="00632584" w:rsidRDefault="00632584" w:rsidP="00632584">
      <w:pPr>
        <w:jc w:val="both"/>
      </w:pPr>
      <w:r>
        <w:t>Non c’è dubbio che dove è stato realizzato un PMO, un Piano di Massima Occupabilità, con una dettagliata disciplina delle regole in base alle quali verranno rilasciate le concessioni di suolo pubblico, il compito sarà agevolato, tuttavia per certe problematiche può bastare una disposizione regolamentare a regolare lo sfruttamento del suolo pubblico.</w:t>
      </w:r>
    </w:p>
    <w:p w14:paraId="0D1F76AC" w14:textId="6A1AD106" w:rsidR="00632584" w:rsidRDefault="00632584" w:rsidP="00632584">
      <w:pPr>
        <w:jc w:val="both"/>
      </w:pPr>
      <w:r>
        <w:t xml:space="preserve">Sul tema </w:t>
      </w:r>
      <w:r w:rsidR="000D0808">
        <w:t xml:space="preserve">analizziamo una sentenza del Consiglio di Stato del 3 febbraio 2025 che ha trattato una vertenza proposta da un condominio contro il Comune che </w:t>
      </w:r>
      <w:r w:rsidR="004126F2">
        <w:t>aveva</w:t>
      </w:r>
      <w:r w:rsidR="000D0808">
        <w:t xml:space="preserve"> rilasciato la concessione</w:t>
      </w:r>
      <w:r w:rsidR="004126F2">
        <w:t xml:space="preserve"> e contro </w:t>
      </w:r>
      <w:r w:rsidR="000D0808">
        <w:t>la ditta che occupava il suolo pubblico prospicente l’entrata del fabbricato.</w:t>
      </w:r>
    </w:p>
    <w:p w14:paraId="67BE9174" w14:textId="77777777" w:rsidR="000D0808" w:rsidRDefault="000D0808" w:rsidP="00632584">
      <w:pPr>
        <w:jc w:val="both"/>
      </w:pPr>
    </w:p>
    <w:sectPr w:rsidR="000D080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E3A"/>
    <w:rsid w:val="00060149"/>
    <w:rsid w:val="000D0808"/>
    <w:rsid w:val="004126F2"/>
    <w:rsid w:val="005D6E3A"/>
    <w:rsid w:val="00632584"/>
    <w:rsid w:val="007B1496"/>
    <w:rsid w:val="00A30EE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081E7"/>
  <w15:chartTrackingRefBased/>
  <w15:docId w15:val="{222ECA5A-1566-4F18-AD50-AF814A74A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D6E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5D6E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5D6E3A"/>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5D6E3A"/>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5D6E3A"/>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5D6E3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D6E3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D6E3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D6E3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D6E3A"/>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5D6E3A"/>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5D6E3A"/>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5D6E3A"/>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5D6E3A"/>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5D6E3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D6E3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D6E3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D6E3A"/>
    <w:rPr>
      <w:rFonts w:eastAsiaTheme="majorEastAsia" w:cstheme="majorBidi"/>
      <w:color w:val="272727" w:themeColor="text1" w:themeTint="D8"/>
    </w:rPr>
  </w:style>
  <w:style w:type="paragraph" w:styleId="Titolo">
    <w:name w:val="Title"/>
    <w:basedOn w:val="Normale"/>
    <w:next w:val="Normale"/>
    <w:link w:val="TitoloCarattere"/>
    <w:uiPriority w:val="10"/>
    <w:qFormat/>
    <w:rsid w:val="005D6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D6E3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D6E3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D6E3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D6E3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D6E3A"/>
    <w:rPr>
      <w:i/>
      <w:iCs/>
      <w:color w:val="404040" w:themeColor="text1" w:themeTint="BF"/>
    </w:rPr>
  </w:style>
  <w:style w:type="paragraph" w:styleId="Paragrafoelenco">
    <w:name w:val="List Paragraph"/>
    <w:basedOn w:val="Normale"/>
    <w:uiPriority w:val="34"/>
    <w:qFormat/>
    <w:rsid w:val="005D6E3A"/>
    <w:pPr>
      <w:ind w:left="720"/>
      <w:contextualSpacing/>
    </w:pPr>
  </w:style>
  <w:style w:type="character" w:styleId="Enfasiintensa">
    <w:name w:val="Intense Emphasis"/>
    <w:basedOn w:val="Carpredefinitoparagrafo"/>
    <w:uiPriority w:val="21"/>
    <w:qFormat/>
    <w:rsid w:val="005D6E3A"/>
    <w:rPr>
      <w:i/>
      <w:iCs/>
      <w:color w:val="2F5496" w:themeColor="accent1" w:themeShade="BF"/>
    </w:rPr>
  </w:style>
  <w:style w:type="paragraph" w:styleId="Citazioneintensa">
    <w:name w:val="Intense Quote"/>
    <w:basedOn w:val="Normale"/>
    <w:next w:val="Normale"/>
    <w:link w:val="CitazioneintensaCarattere"/>
    <w:uiPriority w:val="30"/>
    <w:qFormat/>
    <w:rsid w:val="005D6E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5D6E3A"/>
    <w:rPr>
      <w:i/>
      <w:iCs/>
      <w:color w:val="2F5496" w:themeColor="accent1" w:themeShade="BF"/>
    </w:rPr>
  </w:style>
  <w:style w:type="character" w:styleId="Riferimentointenso">
    <w:name w:val="Intense Reference"/>
    <w:basedOn w:val="Carpredefinitoparagrafo"/>
    <w:uiPriority w:val="32"/>
    <w:qFormat/>
    <w:rsid w:val="005D6E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302</Words>
  <Characters>1725</Characters>
  <Application>Microsoft Office Word</Application>
  <DocSecurity>0</DocSecurity>
  <Lines>14</Lines>
  <Paragraphs>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3</cp:revision>
  <dcterms:created xsi:type="dcterms:W3CDTF">2026-01-28T11:09:00Z</dcterms:created>
  <dcterms:modified xsi:type="dcterms:W3CDTF">2026-01-28T11:59:00Z</dcterms:modified>
</cp:coreProperties>
</file>