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7A0F" w14:textId="5DE9EECB" w:rsidR="00060149" w:rsidRDefault="00B61F8C">
      <w:r>
        <w:t>Titolo:</w:t>
      </w:r>
      <w:r w:rsidR="00C13D0D">
        <w:t xml:space="preserve"> </w:t>
      </w:r>
      <w:r w:rsidR="00C13D0D" w:rsidRPr="00C13D0D">
        <w:t>L’istituto del silenzio assenso “orizzontale” </w:t>
      </w:r>
      <w:r w:rsidR="00966478">
        <w:t xml:space="preserve">per il </w:t>
      </w:r>
      <w:r w:rsidR="00966478" w:rsidRPr="00C13D0D">
        <w:t>rilascio dell’autorizzazione paesaggistica</w:t>
      </w:r>
    </w:p>
    <w:p w14:paraId="63C6ED29" w14:textId="4F656849" w:rsidR="00B61F8C" w:rsidRDefault="00B61F8C">
      <w:r>
        <w:t>di Alessandro Merciari</w:t>
      </w:r>
    </w:p>
    <w:p w14:paraId="48B1331E" w14:textId="77777777" w:rsidR="00B61F8C" w:rsidRDefault="00B61F8C"/>
    <w:p w14:paraId="2A9199BE" w14:textId="13DBDEE1" w:rsidR="00C13D0D" w:rsidRDefault="00C13D0D" w:rsidP="00966478">
      <w:pPr>
        <w:jc w:val="both"/>
      </w:pPr>
      <w:r>
        <w:t xml:space="preserve">Nell’ambito della disciplina </w:t>
      </w:r>
      <w:r w:rsidR="00966478">
        <w:t>Cup, la</w:t>
      </w:r>
      <w:r>
        <w:t xml:space="preserve"> nuova entrata dedicata alle occupazioni di suolo pubblico e alle diffusioni pubblicitarie, abbiamo spesso sottolineato come siano strettamente collegate le procedure amministrative di rilascio delle autorizzazioni e concessioni, con la fase di pagamento del Canone Unico.</w:t>
      </w:r>
    </w:p>
    <w:p w14:paraId="57AF7338" w14:textId="77777777" w:rsidR="00966478" w:rsidRDefault="00C13D0D" w:rsidP="00966478">
      <w:pPr>
        <w:jc w:val="both"/>
      </w:pPr>
      <w:r>
        <w:t>Un legame strettissimo con la fase di natura fiscale che caratterizza la gestione e l’organizzazione di questa entrata multi settoriale.</w:t>
      </w:r>
      <w:r w:rsidR="00966478">
        <w:t xml:space="preserve"> </w:t>
      </w:r>
    </w:p>
    <w:p w14:paraId="77351972" w14:textId="5EF52C44" w:rsidR="00C13D0D" w:rsidRDefault="00C13D0D" w:rsidP="00966478">
      <w:pPr>
        <w:jc w:val="both"/>
      </w:pPr>
      <w:r>
        <w:t xml:space="preserve">Con l’odierno approfondimento analizziamo in </w:t>
      </w:r>
      <w:r w:rsidR="000B6FD3">
        <w:t>particolare l’istituto</w:t>
      </w:r>
      <w:r w:rsidR="00B61F8C" w:rsidRPr="00C13D0D">
        <w:t xml:space="preserve"> del silenzio assenso “orizzontale</w:t>
      </w:r>
      <w:r w:rsidR="00966478" w:rsidRPr="00C13D0D">
        <w:t>”</w:t>
      </w:r>
      <w:r w:rsidR="00966478">
        <w:t xml:space="preserve">, </w:t>
      </w:r>
      <w:r w:rsidR="00966478" w:rsidRPr="00C13D0D">
        <w:t>cioè</w:t>
      </w:r>
      <w:r w:rsidR="00B61F8C" w:rsidRPr="00C13D0D">
        <w:t xml:space="preserve"> quello che opera fra pubbliche amministrazioni</w:t>
      </w:r>
      <w:r w:rsidR="00966478">
        <w:t xml:space="preserve"> coinvolte nella fase istruttoria di rilascio di un provvedimento di concessione o di autorizzazione</w:t>
      </w:r>
      <w:r>
        <w:t xml:space="preserve">. </w:t>
      </w:r>
    </w:p>
    <w:p w14:paraId="4CE8E5BE" w14:textId="3C1A3B07" w:rsidR="000B6FD3" w:rsidRDefault="00C13D0D" w:rsidP="00966478">
      <w:pPr>
        <w:jc w:val="both"/>
      </w:pPr>
      <w:r>
        <w:t xml:space="preserve">Nella fase istruttoria necessaria per il rilascio delle concessioni, è necessario </w:t>
      </w:r>
      <w:r w:rsidR="00966478">
        <w:t xml:space="preserve">infatti </w:t>
      </w:r>
      <w:r>
        <w:t xml:space="preserve">raccogliere una serie di </w:t>
      </w:r>
      <w:r w:rsidR="000B6FD3">
        <w:t xml:space="preserve">pareri che riguardano ambiti di sicurezza stradale, di arredo e decoro urbano e di tutela del paesaggio. Per questo diventa rilevante in </w:t>
      </w:r>
      <w:r w:rsidR="00966478">
        <w:t>diverse</w:t>
      </w:r>
      <w:r w:rsidR="000B6FD3">
        <w:t xml:space="preserve"> circostanze richiedere il parere alla </w:t>
      </w:r>
      <w:r w:rsidR="00B61F8C" w:rsidRPr="00C13D0D">
        <w:t>Soprintendenz</w:t>
      </w:r>
      <w:r w:rsidR="00E8371E">
        <w:t>a per ottenere l’autorizzazione ai sensi dell’articolo 146 del D.lgs 42 del 2004</w:t>
      </w:r>
      <w:r w:rsidR="00A929C3">
        <w:t xml:space="preserve">, </w:t>
      </w:r>
      <w:r w:rsidR="00A929C3" w:rsidRPr="00A929C3">
        <w:t xml:space="preserve">noto come Codice dei Beni Culturali e del Paesaggio, </w:t>
      </w:r>
      <w:r w:rsidR="00A929C3">
        <w:t xml:space="preserve">che </w:t>
      </w:r>
      <w:r w:rsidR="00A929C3" w:rsidRPr="00A929C3">
        <w:t>disciplina</w:t>
      </w:r>
      <w:r w:rsidR="00A929C3">
        <w:t xml:space="preserve"> proprio</w:t>
      </w:r>
      <w:r w:rsidR="00A929C3" w:rsidRPr="00A929C3">
        <w:t xml:space="preserve"> l'autorizzazione paesaggistica per interventi in aree soggette a tutela paesaggistica.</w:t>
      </w:r>
    </w:p>
    <w:p w14:paraId="747AA826" w14:textId="5047F3A3" w:rsidR="00E8371E" w:rsidRDefault="00E8371E" w:rsidP="00A929C3">
      <w:pPr>
        <w:jc w:val="both"/>
      </w:pPr>
      <w:r>
        <w:t xml:space="preserve">Cosa accade </w:t>
      </w:r>
      <w:r w:rsidR="00A929C3">
        <w:t>quando</w:t>
      </w:r>
      <w:r>
        <w:t xml:space="preserve"> le Pubbliche Amministrazioni coinvolte nel processo autorizzatorio non esprimono il proprio parere?</w:t>
      </w:r>
    </w:p>
    <w:p w14:paraId="3DEA95BD" w14:textId="0759B59E" w:rsidR="00E8371E" w:rsidRDefault="00A929C3" w:rsidP="00E8371E">
      <w:pPr>
        <w:jc w:val="both"/>
      </w:pPr>
      <w:r>
        <w:t xml:space="preserve">La risposta la leggiamo nella </w:t>
      </w:r>
      <w:r w:rsidR="00E8371E" w:rsidRPr="00E8371E">
        <w:t xml:space="preserve">riforma Madia, </w:t>
      </w:r>
      <w:r>
        <w:t>che ha</w:t>
      </w:r>
      <w:r w:rsidR="00E8371E">
        <w:t xml:space="preserve"> e</w:t>
      </w:r>
      <w:r w:rsidR="00E8371E" w:rsidRPr="00E8371E">
        <w:t>steso il silenzio assenso orizzontale tra pubbliche amministrazioni di cui all’art. 17-bis della legge n. 241/1990</w:t>
      </w:r>
      <w:r w:rsidR="00E8371E">
        <w:t xml:space="preserve"> </w:t>
      </w:r>
      <w:r w:rsidR="00E8371E" w:rsidRPr="00E8371E">
        <w:t>anche al caso in cui l’atto di assenso provenga da un’amministrazione preposta alla cura di interessi sensibili.</w:t>
      </w:r>
    </w:p>
    <w:p w14:paraId="59A5CC48" w14:textId="213150BA" w:rsidR="00E8371E" w:rsidRDefault="00E8371E" w:rsidP="00E8371E">
      <w:pPr>
        <w:jc w:val="both"/>
      </w:pPr>
      <w:r>
        <w:t xml:space="preserve">In questo senso risulta </w:t>
      </w:r>
      <w:r w:rsidRPr="00E8371E">
        <w:t>univoca interpretazione che ne ha dato la giurisprudenza amministrativa, “</w:t>
      </w:r>
      <w:r w:rsidRPr="00E8371E">
        <w:rPr>
          <w:i/>
          <w:iCs/>
        </w:rPr>
        <w:t>l’art. 17-bis riveste nei rapporti tra amministrazioni pubbliche una portata generale analoga a quella del nuovo articolo 21-nonies nei rapporti tra amministrazioni e privati</w:t>
      </w:r>
      <w:r w:rsidRPr="00E8371E">
        <w:t>”. Al riguardo, si “</w:t>
      </w:r>
      <w:r w:rsidRPr="00E8371E">
        <w:rPr>
          <w:i/>
          <w:iCs/>
        </w:rPr>
        <w:t>ritiene si possa parlare di un ‘nuovo paradigma’: in tutti i casi in cui il procedimento amministrativo è destinato a concludersi con una decisione ‘pluristrutturata’, nel senso che la decisione finale da parte dell’Amministrazione procedente richiede per legge l’assenso vincolante di un’altra Amministrazione, il silenzio dell’Amministrazione interpellata, che rimanga </w:t>
      </w:r>
      <w:r w:rsidRPr="00E8371E">
        <w:t>inerte non esternando alcuna volontà,</w:t>
      </w:r>
      <w:r w:rsidRPr="00E8371E">
        <w:rPr>
          <w:i/>
          <w:iCs/>
        </w:rPr>
        <w:t xml:space="preserve"> non ha più l’effetto di precludere l’adozione del provvedimento finale ma è, al contrario, equiparato</w:t>
      </w:r>
      <w:r w:rsidRPr="00E8371E">
        <w:t> ope legis </w:t>
      </w:r>
      <w:r w:rsidRPr="00E8371E">
        <w:rPr>
          <w:i/>
          <w:iCs/>
        </w:rPr>
        <w:t>a un atto di assenso e consente all’Amministrazione procedente l’adozione del provvedimento conclusivo”</w:t>
      </w:r>
      <w:r>
        <w:rPr>
          <w:i/>
          <w:iCs/>
        </w:rPr>
        <w:t xml:space="preserve"> (TAR Sicilia </w:t>
      </w:r>
      <w:r w:rsidRPr="00E8371E">
        <w:rPr>
          <w:i/>
          <w:iCs/>
        </w:rPr>
        <w:t>sentenza del 6 settembre 2024, n. 2506</w:t>
      </w:r>
      <w:r>
        <w:rPr>
          <w:i/>
          <w:iCs/>
        </w:rPr>
        <w:t>)</w:t>
      </w:r>
      <w:r w:rsidRPr="00E8371E">
        <w:rPr>
          <w:i/>
          <w:iCs/>
        </w:rPr>
        <w:t>.</w:t>
      </w:r>
    </w:p>
    <w:p w14:paraId="3CE5094E" w14:textId="67B3DF80" w:rsidR="00B61F8C" w:rsidRPr="00C13D0D" w:rsidRDefault="00D96C61" w:rsidP="00D96C61">
      <w:pPr>
        <w:jc w:val="both"/>
      </w:pPr>
      <w:r>
        <w:t>Anche il Consiglio di Stato ha espresso questi fondamentali principi</w:t>
      </w:r>
      <w:r w:rsidR="00B61F8C" w:rsidRPr="00C13D0D">
        <w:t>,</w:t>
      </w:r>
      <w:r>
        <w:t xml:space="preserve"> in particolare </w:t>
      </w:r>
      <w:r w:rsidR="00B61F8C" w:rsidRPr="00C13D0D">
        <w:t>con la sentenza della sezione IV, n. 8610 del 2 ottobre 2023, che ha chiarito definitivamente il rapporto fra silenzio assenso “endo-procedimentale” (ossia quello che si può formare all’interno di un procedimento amministrativo) e le Soprintendenze, spesso ritenute escluse da questa semplificazione.</w:t>
      </w:r>
    </w:p>
    <w:p w14:paraId="39A2BC38" w14:textId="77777777" w:rsidR="00B61F8C" w:rsidRPr="00C13D0D" w:rsidRDefault="00B61F8C" w:rsidP="00D96C61">
      <w:pPr>
        <w:jc w:val="both"/>
      </w:pPr>
      <w:r w:rsidRPr="00C13D0D">
        <w:t>Nella lunga e articolata pronuncia i giudici amministrativi hanno sostenuto questa interpretazione innovativa perché più conforme con il quadro normativo successivo alla Legge 124/2015.</w:t>
      </w:r>
    </w:p>
    <w:p w14:paraId="331B83BD" w14:textId="7A921F44" w:rsidR="00B61F8C" w:rsidRPr="00C13D0D" w:rsidRDefault="00B61F8C" w:rsidP="00D96C61">
      <w:pPr>
        <w:jc w:val="both"/>
      </w:pPr>
      <w:r w:rsidRPr="00C13D0D">
        <w:t xml:space="preserve">Questa legge ha attribuito alla semplificazione amministrativa il valore di obiettivo fondamentale per garantire la competitività del sistema Paese, introducendo una pluralità di istituti – come la conferenza di servizi semplificata (art. 14-bis Legge 241/1990) e il silenzio assenso “orizzontale” (art. 17-bis Legge 241/1990) – finalizzati a garantire la conclusione dei procedimenti in tempi certi e rapidi e quindi una risposta </w:t>
      </w:r>
      <w:r w:rsidRPr="00C13D0D">
        <w:lastRenderedPageBreak/>
        <w:t>(sia positiva che negativa) entro termini ragionevoli “</w:t>
      </w:r>
      <w:r w:rsidRPr="00C13D0D">
        <w:rPr>
          <w:i/>
          <w:iCs/>
        </w:rPr>
        <w:t>poiché il fattore tempo è una variabile essenziale della programmazione finanziaria privata</w:t>
      </w:r>
      <w:r w:rsidRPr="00C13D0D">
        <w:t xml:space="preserve">”. </w:t>
      </w:r>
    </w:p>
    <w:p w14:paraId="4199C9DE" w14:textId="77777777" w:rsidR="00B61F8C" w:rsidRPr="00C13D0D" w:rsidRDefault="00B61F8C" w:rsidP="00D96C61">
      <w:pPr>
        <w:jc w:val="both"/>
      </w:pPr>
      <w:r w:rsidRPr="00C13D0D">
        <w:t>In questo contesto gli interessi “sensibili” come il paesaggio, l’ambiente e i beni culturali, non possono avere un </w:t>
      </w:r>
      <w:r w:rsidRPr="00C13D0D">
        <w:rPr>
          <w:i/>
          <w:iCs/>
        </w:rPr>
        <w:t>“primato astratto, assoluto e incondizionato”</w:t>
      </w:r>
      <w:r w:rsidRPr="00C13D0D">
        <w:t> ma devono inserirsi un bilanciamento concreto di tutti gli interessi coinvolti nel procedimento amministrativo e questo, anche quando si tratta, come nel caso della tutela paesaggistica, di valori riconosciuti dalla Costituzione.</w:t>
      </w:r>
    </w:p>
    <w:p w14:paraId="56C5B514" w14:textId="1774EF38" w:rsidR="00B61F8C" w:rsidRDefault="00B61F8C" w:rsidP="009F1D47">
      <w:pPr>
        <w:jc w:val="both"/>
        <w:rPr>
          <w:i/>
          <w:iCs/>
        </w:rPr>
      </w:pPr>
      <w:r w:rsidRPr="00C13D0D">
        <w:t>Peraltro, la sentenza evidenzia che la normativa è chiara nell’applicare il silenzio assenso anche alle soprintendenze e alle altre amministrazioni che tutelano interessi sensibili. Infatti</w:t>
      </w:r>
      <w:r w:rsidR="009F1D47">
        <w:t xml:space="preserve">, </w:t>
      </w:r>
      <w:r w:rsidRPr="00C13D0D">
        <w:t>l’art. 17 bis, comma 3, dispone che il silenzio-assenso “orizzontale” si applica </w:t>
      </w:r>
      <w:r w:rsidRPr="00C13D0D">
        <w:rPr>
          <w:i/>
          <w:iCs/>
        </w:rPr>
        <w:t>“anche ai casi in cui è prevista l’acquisizione di assensi, concerti o nulla osta comunque denominati di amministrazioni preposte alla tutela ambientale, paesaggistico-territoriale, dei beni culturali e della salute dei cittadini, per l’adozione di provvedimenti normativi e amministrativi di competenza di amministrazioni pubbliche.”</w:t>
      </w:r>
      <w:r w:rsidR="009F1D47">
        <w:rPr>
          <w:i/>
          <w:iCs/>
        </w:rPr>
        <w:t>.</w:t>
      </w:r>
    </w:p>
    <w:p w14:paraId="79C0AE55" w14:textId="6CED2E55" w:rsidR="00B61F8C" w:rsidRPr="00C13D0D" w:rsidRDefault="009F1D47" w:rsidP="009F1D47">
      <w:pPr>
        <w:jc w:val="both"/>
      </w:pPr>
      <w:r w:rsidRPr="009F1D47">
        <w:t>Anche</w:t>
      </w:r>
      <w:r>
        <w:t xml:space="preserve"> </w:t>
      </w:r>
      <w:r w:rsidR="00B61F8C" w:rsidRPr="00C13D0D">
        <w:t>l’art. 14 bis, relativo alla conferenza di servizi semplificata, dispone al comma 4, anche con riferimento alle amministrazioni per la tutela paesaggistico e dei beni culturali (alle quali è concesso solo un allungamento del termine per decidere) il principio per cui si considera acquisito l’assenso senza condizioni delle amministrazioni che non comunicano il proprio parere entro il termine stabilito o comunicano un parere privo dei requisiti di legge.</w:t>
      </w:r>
    </w:p>
    <w:p w14:paraId="6FECEC8F" w14:textId="3771E822" w:rsidR="00B61F8C" w:rsidRPr="00C13D0D" w:rsidRDefault="009F1D47" w:rsidP="009F1D47">
      <w:pPr>
        <w:jc w:val="both"/>
      </w:pPr>
      <w:r>
        <w:t xml:space="preserve">Sulla stessa linea va letto </w:t>
      </w:r>
      <w:r w:rsidR="00B61F8C" w:rsidRPr="00C13D0D">
        <w:t>l’art</w:t>
      </w:r>
      <w:r>
        <w:t>icolo</w:t>
      </w:r>
      <w:r w:rsidR="00B61F8C" w:rsidRPr="00C13D0D">
        <w:t xml:space="preserve"> 11 del Dpr 31/2017 ossia il regolamento che disciplina il rilascio dell’autorizzazione paesaggistica semplificata </w:t>
      </w:r>
      <w:r>
        <w:t xml:space="preserve">che </w:t>
      </w:r>
      <w:r w:rsidR="00B61F8C" w:rsidRPr="00C13D0D">
        <w:t xml:space="preserve">prevede espressamente </w:t>
      </w:r>
      <w:r>
        <w:t>come:</w:t>
      </w:r>
      <w:r w:rsidR="00B61F8C" w:rsidRPr="00C13D0D">
        <w:t>“</w:t>
      </w:r>
      <w:r w:rsidR="00B61F8C" w:rsidRPr="00C13D0D">
        <w:rPr>
          <w:i/>
          <w:iCs/>
        </w:rPr>
        <w:t>In caso di mancata espressione del parere vincolante del Soprintendente nei tempi previsti dal comma 5, si forma il silenzio assenso ai sensi dell’articolo 17-bis della legge 7 agosto 1990, n. 241, e successive modificazioni e l’amministrazione procedente provvede al rilascio dell’autorizzazione paesaggistica</w:t>
      </w:r>
      <w:r w:rsidR="00B61F8C" w:rsidRPr="00C13D0D">
        <w:t>”.</w:t>
      </w:r>
    </w:p>
    <w:p w14:paraId="6F3C298D" w14:textId="6DCB49F2" w:rsidR="00B61F8C" w:rsidRPr="00C13D0D" w:rsidRDefault="00B61F8C" w:rsidP="009F1D47">
      <w:pPr>
        <w:jc w:val="both"/>
      </w:pPr>
      <w:r w:rsidRPr="00C13D0D">
        <w:t xml:space="preserve">Il Consiglio di Stato, dunque, ritiene applicabile il silenzio assenso “orizzontale” anche all’interno del procedimento di rilascio dell’autorizzazione paesaggistica, sia in quello semplificato sopra richiamato, sia in quello ordinario regolato dall’art. 146 del D.lgs. 42/2004. Si tratta di una innovazione profonda e significativa di questi processi che dovrebbe portare ad un loro forte snellimento: infatti nei casi in cui la Soprintendenza, su richiesta </w:t>
      </w:r>
      <w:r w:rsidR="009F1D47">
        <w:t>del C</w:t>
      </w:r>
      <w:r w:rsidRPr="00C13D0D">
        <w:t>omune delegato al rilascio dell’autorizzazione paesaggistica, non rilasci il proprio parere entro il termine di legge, l’inerzia dovrà essere considerata dal Comune come avente valore di assenso e in quanto tale sarà vincolate ai fini del rilascio del provvedimento positivo.</w:t>
      </w:r>
    </w:p>
    <w:p w14:paraId="7212ECF2" w14:textId="77777777" w:rsidR="00B61F8C" w:rsidRPr="00C13D0D" w:rsidRDefault="00B61F8C" w:rsidP="009F1D47">
      <w:pPr>
        <w:jc w:val="both"/>
      </w:pPr>
      <w:r w:rsidRPr="00C13D0D">
        <w:t>Del resto, come ricorda il Consiglio di Stato, l’applicazione del silenzio assenso “orizzontale” al parere paesaggistico è stata espressamente affermata dal Ministero dei Beni culturali con le circolari 10 novembre 2015, prot. n. 27158 e 20 luglio 2016, prot. 21892.</w:t>
      </w:r>
    </w:p>
    <w:p w14:paraId="5B190150" w14:textId="77777777" w:rsidR="00B61F8C" w:rsidRDefault="00B61F8C" w:rsidP="009F1D47">
      <w:pPr>
        <w:jc w:val="both"/>
      </w:pPr>
      <w:r w:rsidRPr="00C13D0D">
        <w:t>Infine, è stato sancito che, in base all’art. 2, comma 8-bis della Legge 241/1990, come introdotto dal DL 76/2020, qualora la Soprintendenza dovesse rilasciare il parere oltre il termine stabilito, questo non avrà alcuna efficacia, ossia sarà come se non esistesse.</w:t>
      </w:r>
    </w:p>
    <w:p w14:paraId="0F4BA69E" w14:textId="6FECB794" w:rsidR="00A929C3" w:rsidRPr="00C13D0D" w:rsidRDefault="00A929C3" w:rsidP="009F1D47">
      <w:pPr>
        <w:jc w:val="both"/>
      </w:pPr>
      <w:r>
        <w:t xml:space="preserve">Ecco quindi che, per quanto attiene il rilascio delle concessioni per l’occupazione di suolo pubblico e per quanto riguarda le autorizzazioni all’installazione di impianti pubblicitari, l’iter </w:t>
      </w:r>
      <w:r w:rsidR="00020B7B">
        <w:t xml:space="preserve">istruttorio </w:t>
      </w:r>
      <w:r>
        <w:t>registra una sensibile semplificazione grazie all’istituto del silenzio assenso orizzon</w:t>
      </w:r>
      <w:r w:rsidR="0060616B">
        <w:t>t</w:t>
      </w:r>
      <w:r>
        <w:t>ale</w:t>
      </w:r>
      <w:r w:rsidR="0060616B">
        <w:t xml:space="preserve">, che </w:t>
      </w:r>
      <w:r w:rsidR="00020B7B">
        <w:t>garantisce tempi adeguati alla conclusione della procedura amministrativa.</w:t>
      </w:r>
    </w:p>
    <w:p w14:paraId="76A191F7" w14:textId="77777777" w:rsidR="00B61F8C" w:rsidRDefault="00B61F8C"/>
    <w:p w14:paraId="35FE9558" w14:textId="77777777" w:rsidR="00966478" w:rsidRPr="00C13D0D" w:rsidRDefault="00966478"/>
    <w:sectPr w:rsidR="00966478" w:rsidRPr="00C13D0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AF3"/>
    <w:multiLevelType w:val="multilevel"/>
    <w:tmpl w:val="609A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0981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FEE"/>
    <w:rsid w:val="00020B7B"/>
    <w:rsid w:val="00060149"/>
    <w:rsid w:val="000B6FD3"/>
    <w:rsid w:val="0060616B"/>
    <w:rsid w:val="00685883"/>
    <w:rsid w:val="006E59C4"/>
    <w:rsid w:val="00732FEE"/>
    <w:rsid w:val="007B1496"/>
    <w:rsid w:val="00966478"/>
    <w:rsid w:val="009F1D47"/>
    <w:rsid w:val="00A929C3"/>
    <w:rsid w:val="00B61F8C"/>
    <w:rsid w:val="00B83F8A"/>
    <w:rsid w:val="00C13D0D"/>
    <w:rsid w:val="00D76BF9"/>
    <w:rsid w:val="00D96C61"/>
    <w:rsid w:val="00E837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6011"/>
  <w15:chartTrackingRefBased/>
  <w15:docId w15:val="{DDC9E2C7-D606-4B98-8409-5BCBE9330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32F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32F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32FE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32FE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32FE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32FE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32FE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32FE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32FE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32FE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32FE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32FE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32FE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32FE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32FE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32FE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32FE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32FEE"/>
    <w:rPr>
      <w:rFonts w:eastAsiaTheme="majorEastAsia" w:cstheme="majorBidi"/>
      <w:color w:val="272727" w:themeColor="text1" w:themeTint="D8"/>
    </w:rPr>
  </w:style>
  <w:style w:type="paragraph" w:styleId="Titolo">
    <w:name w:val="Title"/>
    <w:basedOn w:val="Normale"/>
    <w:next w:val="Normale"/>
    <w:link w:val="TitoloCarattere"/>
    <w:uiPriority w:val="10"/>
    <w:qFormat/>
    <w:rsid w:val="00732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32FE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32FE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32FE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32FE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32FEE"/>
    <w:rPr>
      <w:i/>
      <w:iCs/>
      <w:color w:val="404040" w:themeColor="text1" w:themeTint="BF"/>
    </w:rPr>
  </w:style>
  <w:style w:type="paragraph" w:styleId="Paragrafoelenco">
    <w:name w:val="List Paragraph"/>
    <w:basedOn w:val="Normale"/>
    <w:uiPriority w:val="34"/>
    <w:qFormat/>
    <w:rsid w:val="00732FEE"/>
    <w:pPr>
      <w:ind w:left="720"/>
      <w:contextualSpacing/>
    </w:pPr>
  </w:style>
  <w:style w:type="character" w:styleId="Enfasiintensa">
    <w:name w:val="Intense Emphasis"/>
    <w:basedOn w:val="Carpredefinitoparagrafo"/>
    <w:uiPriority w:val="21"/>
    <w:qFormat/>
    <w:rsid w:val="00732FEE"/>
    <w:rPr>
      <w:i/>
      <w:iCs/>
      <w:color w:val="2F5496" w:themeColor="accent1" w:themeShade="BF"/>
    </w:rPr>
  </w:style>
  <w:style w:type="paragraph" w:styleId="Citazioneintensa">
    <w:name w:val="Intense Quote"/>
    <w:basedOn w:val="Normale"/>
    <w:next w:val="Normale"/>
    <w:link w:val="CitazioneintensaCarattere"/>
    <w:uiPriority w:val="30"/>
    <w:qFormat/>
    <w:rsid w:val="00732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32FEE"/>
    <w:rPr>
      <w:i/>
      <w:iCs/>
      <w:color w:val="2F5496" w:themeColor="accent1" w:themeShade="BF"/>
    </w:rPr>
  </w:style>
  <w:style w:type="character" w:styleId="Riferimentointenso">
    <w:name w:val="Intense Reference"/>
    <w:basedOn w:val="Carpredefinitoparagrafo"/>
    <w:uiPriority w:val="32"/>
    <w:qFormat/>
    <w:rsid w:val="00732FEE"/>
    <w:rPr>
      <w:b/>
      <w:bCs/>
      <w:smallCaps/>
      <w:color w:val="2F5496" w:themeColor="accent1" w:themeShade="BF"/>
      <w:spacing w:val="5"/>
    </w:rPr>
  </w:style>
  <w:style w:type="character" w:styleId="Collegamentoipertestuale">
    <w:name w:val="Hyperlink"/>
    <w:basedOn w:val="Carpredefinitoparagrafo"/>
    <w:uiPriority w:val="99"/>
    <w:unhideWhenUsed/>
    <w:rsid w:val="00E8371E"/>
    <w:rPr>
      <w:color w:val="0563C1" w:themeColor="hyperlink"/>
      <w:u w:val="single"/>
    </w:rPr>
  </w:style>
  <w:style w:type="character" w:styleId="Menzionenonrisolta">
    <w:name w:val="Unresolved Mention"/>
    <w:basedOn w:val="Carpredefinitoparagrafo"/>
    <w:uiPriority w:val="99"/>
    <w:semiHidden/>
    <w:unhideWhenUsed/>
    <w:rsid w:val="00E83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92527">
      <w:bodyDiv w:val="1"/>
      <w:marLeft w:val="0"/>
      <w:marRight w:val="0"/>
      <w:marTop w:val="0"/>
      <w:marBottom w:val="0"/>
      <w:divBdr>
        <w:top w:val="none" w:sz="0" w:space="0" w:color="auto"/>
        <w:left w:val="none" w:sz="0" w:space="0" w:color="auto"/>
        <w:bottom w:val="none" w:sz="0" w:space="0" w:color="auto"/>
        <w:right w:val="none" w:sz="0" w:space="0" w:color="auto"/>
      </w:divBdr>
    </w:div>
    <w:div w:id="170571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2</Pages>
  <Words>1123</Words>
  <Characters>6403</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10</cp:revision>
  <dcterms:created xsi:type="dcterms:W3CDTF">2025-06-18T11:11:00Z</dcterms:created>
  <dcterms:modified xsi:type="dcterms:W3CDTF">2025-06-20T10:44:00Z</dcterms:modified>
</cp:coreProperties>
</file>