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6DEFF" w14:textId="58FA1425" w:rsidR="006C0C6E" w:rsidRDefault="006C0C6E" w:rsidP="00A62B01">
      <w:pPr>
        <w:rPr>
          <w:b/>
          <w:bCs/>
        </w:rPr>
      </w:pPr>
      <w:r>
        <w:rPr>
          <w:b/>
          <w:bCs/>
        </w:rPr>
        <w:t xml:space="preserve">Titolo: </w:t>
      </w:r>
      <w:r w:rsidR="00934E5B">
        <w:rPr>
          <w:b/>
          <w:bCs/>
        </w:rPr>
        <w:t xml:space="preserve">LE MODIFICHE ALLA DISCIPLINA CUP NELLA BOZZA DI DECRETO DELEGA </w:t>
      </w:r>
      <w:r w:rsidR="00A62B01" w:rsidRPr="004A753D">
        <w:rPr>
          <w:b/>
          <w:bCs/>
        </w:rPr>
        <w:t xml:space="preserve"> </w:t>
      </w:r>
    </w:p>
    <w:p w14:paraId="3D2EEA74" w14:textId="4ACFD63B" w:rsidR="00A62B01" w:rsidRPr="004A753D" w:rsidRDefault="004A753D" w:rsidP="00A62B01">
      <w:pPr>
        <w:rPr>
          <w:b/>
          <w:bCs/>
        </w:rPr>
      </w:pPr>
      <w:r w:rsidRPr="004A753D">
        <w:rPr>
          <w:b/>
          <w:bCs/>
        </w:rPr>
        <w:t xml:space="preserve">PARTE </w:t>
      </w:r>
      <w:r w:rsidR="0065568D">
        <w:rPr>
          <w:b/>
          <w:bCs/>
        </w:rPr>
        <w:t>QUARTA</w:t>
      </w:r>
      <w:r w:rsidR="006C0C6E">
        <w:rPr>
          <w:b/>
          <w:bCs/>
        </w:rPr>
        <w:t>: LA MODIFICA DEL COMMA 8</w:t>
      </w:r>
      <w:r w:rsidR="005F7C52">
        <w:rPr>
          <w:b/>
          <w:bCs/>
        </w:rPr>
        <w:t>2</w:t>
      </w:r>
      <w:r w:rsidR="00476DED">
        <w:rPr>
          <w:b/>
          <w:bCs/>
        </w:rPr>
        <w:t>1</w:t>
      </w:r>
      <w:r w:rsidR="006C0C6E">
        <w:rPr>
          <w:b/>
          <w:bCs/>
        </w:rPr>
        <w:t xml:space="preserve"> </w:t>
      </w:r>
      <w:r w:rsidR="00934E5B">
        <w:rPr>
          <w:b/>
          <w:bCs/>
        </w:rPr>
        <w:t xml:space="preserve"> </w:t>
      </w:r>
    </w:p>
    <w:p w14:paraId="1298A494" w14:textId="6CFDABED" w:rsidR="00A62B01" w:rsidRDefault="0013116B" w:rsidP="0013116B">
      <w:pPr>
        <w:jc w:val="both"/>
      </w:pPr>
      <w:r>
        <w:t xml:space="preserve">Proseguiamo nell’analisi dell’articolo 26 presente nella </w:t>
      </w:r>
      <w:r w:rsidR="00A62B01">
        <w:t xml:space="preserve">bozza </w:t>
      </w:r>
      <w:r w:rsidR="00C3345A">
        <w:t xml:space="preserve">di decreto </w:t>
      </w:r>
      <w:r w:rsidR="00C3345A" w:rsidRPr="00C3345A">
        <w:t>legislativo di attuazione della delega</w:t>
      </w:r>
      <w:r w:rsidR="00C3345A">
        <w:t xml:space="preserve"> </w:t>
      </w:r>
      <w:r w:rsidR="00C3345A" w:rsidRPr="00C3345A">
        <w:t xml:space="preserve">sulla fiscalità </w:t>
      </w:r>
      <w:r w:rsidR="004A753D" w:rsidRPr="00C3345A">
        <w:t>locale</w:t>
      </w:r>
      <w:r w:rsidR="004A753D">
        <w:t>, dedicato</w:t>
      </w:r>
      <w:r w:rsidR="00A62B01">
        <w:t xml:space="preserve"> </w:t>
      </w:r>
      <w:r w:rsidR="00C3345A">
        <w:t>alle</w:t>
      </w:r>
      <w:r w:rsidR="00A62B01">
        <w:t xml:space="preserve"> modifiche </w:t>
      </w:r>
      <w:r w:rsidR="00C3345A">
        <w:t>della</w:t>
      </w:r>
      <w:r w:rsidR="00A62B01">
        <w:t xml:space="preserve"> disciplina del canone unico patrimoniale – CUP.</w:t>
      </w:r>
    </w:p>
    <w:p w14:paraId="7AEA7F56" w14:textId="35E74E06" w:rsidR="00476DED" w:rsidRDefault="0013116B" w:rsidP="00476DED">
      <w:pPr>
        <w:spacing w:before="240" w:after="240"/>
        <w:jc w:val="both"/>
      </w:pPr>
      <w:r>
        <w:t xml:space="preserve">In questo approfondimento andiamo a valutare le modifiche che verrebbero apportate </w:t>
      </w:r>
      <w:r w:rsidR="005F7C52">
        <w:t xml:space="preserve">al </w:t>
      </w:r>
      <w:r>
        <w:t>comma 8</w:t>
      </w:r>
      <w:r w:rsidR="005F7C52">
        <w:t>2</w:t>
      </w:r>
      <w:r w:rsidR="00476DED">
        <w:t>1</w:t>
      </w:r>
      <w:r>
        <w:t xml:space="preserve"> </w:t>
      </w:r>
      <w:r w:rsidR="00476DED">
        <w:t xml:space="preserve">che detta le linee guida </w:t>
      </w:r>
      <w:r w:rsidR="00F237B7">
        <w:t>per</w:t>
      </w:r>
      <w:r w:rsidR="00476DED">
        <w:t xml:space="preserve"> gli enti locali nella predisposizione del proprio Regolamento. Vero strumento di gestione, senza il quale questa entrata sarebbe ingovernabile.</w:t>
      </w:r>
    </w:p>
    <w:p w14:paraId="1123F151" w14:textId="77777777" w:rsidR="00476DED" w:rsidRDefault="00476DED" w:rsidP="00476DED">
      <w:pPr>
        <w:spacing w:before="240" w:after="240"/>
        <w:jc w:val="both"/>
      </w:pPr>
      <w:r>
        <w:t>Il comma si apre con il richiamo all’articolo 52 del D.Lgs 446/97, articolo così importante in tema di autonomia e potestà regolamentare da parte degli enti locali in materia di proprie entrate. Una forma di autonomia condizionata da vincoli di bilancio e da principi generali che devono accompagnare le decisioni degli organi consiliari nel predisporre la disciplina da adattare alla propria realtà locale.</w:t>
      </w:r>
    </w:p>
    <w:p w14:paraId="49EBA82B" w14:textId="77777777" w:rsidR="00476DED" w:rsidRDefault="00476DED" w:rsidP="00476DED">
      <w:pPr>
        <w:spacing w:before="240" w:after="240"/>
        <w:jc w:val="both"/>
      </w:pPr>
      <w:r>
        <w:t>Seguendo la traccia del comma 821 gli enti locali devono ridisegnare le diverse fasi di vita delle entrate sostituite, legare il rilascio degli atti con le richieste di pagamento, informatizzare i processi, efficientare la gestione e la tutela del patrimonio comunale, tutelare il decoro urbano e la sicurezza delle nostre città. E inoltre: contemperare gli interessi della collettività con i benefici economici delle iniziative private, dotarsi di un impianto tariffario giusto, chiaro ed equilibrato. Il regolamento deve essere un abito su misura che si modella al territorio, all'organizzazione comunale, al tessuto economico e solo così il nuovo Canone unico può considerarsi una giusta opportunità per i Comuni, le Province e le Città Metropolitane.</w:t>
      </w:r>
    </w:p>
    <w:p w14:paraId="3523087C" w14:textId="29FE76CD" w:rsidR="0013116B" w:rsidRPr="00476DED" w:rsidRDefault="005F7C52" w:rsidP="00476DED">
      <w:pPr>
        <w:jc w:val="both"/>
        <w:rPr>
          <w:i/>
          <w:iCs/>
        </w:rPr>
      </w:pPr>
      <w:r>
        <w:rPr>
          <w:kern w:val="0"/>
          <w14:ligatures w14:val="none"/>
        </w:rPr>
        <w:t xml:space="preserve">Nel testo proposto per la modifica della disciplina si legge all’articolo 26, comma 1 lettera </w:t>
      </w:r>
      <w:r w:rsidR="00476DED">
        <w:rPr>
          <w:kern w:val="0"/>
          <w14:ligatures w14:val="none"/>
        </w:rPr>
        <w:t>D</w:t>
      </w:r>
      <w:r>
        <w:rPr>
          <w:kern w:val="0"/>
          <w14:ligatures w14:val="none"/>
        </w:rPr>
        <w:t xml:space="preserve">: </w:t>
      </w:r>
      <w:r w:rsidR="00476DED" w:rsidRPr="00476DED">
        <w:rPr>
          <w:kern w:val="0"/>
          <w14:ligatures w14:val="none"/>
        </w:rPr>
        <w:t xml:space="preserve"> </w:t>
      </w:r>
      <w:r w:rsidR="00476DED">
        <w:rPr>
          <w:kern w:val="0"/>
          <w14:ligatures w14:val="none"/>
        </w:rPr>
        <w:t>“</w:t>
      </w:r>
      <w:r w:rsidR="00476DED" w:rsidRPr="00476DED">
        <w:rPr>
          <w:i/>
          <w:iCs/>
          <w:kern w:val="0"/>
          <w14:ligatures w14:val="none"/>
        </w:rPr>
        <w:t>al comma 821, dell’articolo 1 della legge 27 dicembre 2019, n. 160 sono apportate le seguenti modificazioni:1) alla lettera c) il numero “20.000” è sostituito con: “10.000”; 2) alla lettera g) dopo la parola “presumendo” aggiungere “in ogni caso”.</w:t>
      </w:r>
    </w:p>
    <w:p w14:paraId="5F45C6C7" w14:textId="77777777" w:rsidR="00625A06" w:rsidRDefault="00476DED" w:rsidP="00625A06">
      <w:pPr>
        <w:jc w:val="both"/>
        <w:rPr>
          <w:iCs/>
        </w:rPr>
      </w:pPr>
      <w:r>
        <w:t>Le due modifiche proposte vanno ad interessare 2 punti del comma 821, la lettera c) che riguarda</w:t>
      </w:r>
      <w:r w:rsidR="00625A06">
        <w:t xml:space="preserve"> il Piano generale degli Impianti Pubblicitari e la lettera g) che riguarda l’applicazione e il calcolo dell’indennità prevista </w:t>
      </w:r>
      <w:r w:rsidR="00625A06" w:rsidRPr="00625A06">
        <w:rPr>
          <w:iCs/>
        </w:rPr>
        <w:t>per le occupazioni e la diffusione di messaggi pubblicitari realizzate abusivamente</w:t>
      </w:r>
      <w:r w:rsidR="00625A06">
        <w:rPr>
          <w:iCs/>
        </w:rPr>
        <w:t>.</w:t>
      </w:r>
    </w:p>
    <w:p w14:paraId="52D5E70E" w14:textId="7977223F" w:rsidR="00625A06" w:rsidRDefault="00625A06" w:rsidP="00625A06">
      <w:pPr>
        <w:jc w:val="both"/>
        <w:rPr>
          <w:i/>
        </w:rPr>
      </w:pPr>
      <w:r>
        <w:rPr>
          <w:iCs/>
        </w:rPr>
        <w:t>La lettera C del comma 821 nella sua attuale versione prevede: “</w:t>
      </w:r>
      <w:r>
        <w:rPr>
          <w:i/>
        </w:rPr>
        <w:t>c) i criteri per la predisposizione del piano generale degli impianti pubblicitari, obbligatorio solo per i comuni superiori ai 20.000 abitanti, ovvero il richiamo al piano medesimo, se già adottato dal comune;”</w:t>
      </w:r>
    </w:p>
    <w:p w14:paraId="74CF837C" w14:textId="6D2E8FD7" w:rsidR="00625A06" w:rsidRDefault="00625A06" w:rsidP="00625A06">
      <w:pPr>
        <w:jc w:val="both"/>
        <w:rPr>
          <w:iCs/>
        </w:rPr>
      </w:pPr>
      <w:r>
        <w:rPr>
          <w:iCs/>
        </w:rPr>
        <w:t xml:space="preserve">La modifica proposta renderebbe obbligatorio dotarsi </w:t>
      </w:r>
      <w:r w:rsidR="00E83029">
        <w:rPr>
          <w:iCs/>
        </w:rPr>
        <w:t>d</w:t>
      </w:r>
      <w:r>
        <w:rPr>
          <w:iCs/>
        </w:rPr>
        <w:t xml:space="preserve">i un PGIP a tutti i comuni con popolazione superiore a 10mila abitanti. Una scelta </w:t>
      </w:r>
      <w:r w:rsidR="00F237B7">
        <w:rPr>
          <w:iCs/>
        </w:rPr>
        <w:t xml:space="preserve">per </w:t>
      </w:r>
      <w:r>
        <w:rPr>
          <w:iCs/>
        </w:rPr>
        <w:t>allargare la platea di comuni che devono necessariamente dotarsi di un piano.</w:t>
      </w:r>
    </w:p>
    <w:p w14:paraId="384FBFB3" w14:textId="72EAA448" w:rsidR="00E83029" w:rsidRDefault="00625A06" w:rsidP="00E83029">
      <w:pPr>
        <w:jc w:val="both"/>
      </w:pPr>
      <w:r>
        <w:rPr>
          <w:iCs/>
        </w:rPr>
        <w:t>Scelta più che condivisibile per gli effetti positivi che l’adozione di un piano per gli impianti può portare nel contesto del territorio di un ente locale</w:t>
      </w:r>
      <w:r w:rsidR="00E83029">
        <w:rPr>
          <w:iCs/>
        </w:rPr>
        <w:t>.</w:t>
      </w:r>
    </w:p>
    <w:p w14:paraId="72F9323E" w14:textId="2AA2D188" w:rsidR="00E83029" w:rsidRDefault="00E83029" w:rsidP="00E83029">
      <w:pPr>
        <w:jc w:val="both"/>
      </w:pPr>
      <w:r>
        <w:t xml:space="preserve">L’obiettivo è quello di regolamentare la distribuzione degli impianti pubblicitari sul territorio di competenza, al fine di razionalizzare il posizionamento dei manufatti nel rispetto delle prescrizioni e dei vincoli imposti dai vigenti strumenti urbanistici Comunali e dalle norme generali in materia di installazioni pubblicitarie. Inoltre, deve indicare i dettami generali relativamente alle tipologie dei manufatti consentiti ed alle superfici massime ammissibili per tipologia. </w:t>
      </w:r>
    </w:p>
    <w:p w14:paraId="0357A4FD" w14:textId="1FAFBC5E" w:rsidR="00E83029" w:rsidRDefault="00E83029" w:rsidP="00E83029">
      <w:pPr>
        <w:jc w:val="both"/>
      </w:pPr>
      <w:r>
        <w:t xml:space="preserve">La realizzazione del Piano generale degli impianti pubblicitari deve inoltre identificare, coerentemente con gli indirizzi generali, alcune finalità qualificanti, con particolare riguardo ai temi, della sicurezza: riferita alla mobilità in generale (pedonale e veicolare), con attenzione sia agli aspetti più specificamente visivi sia a quelli </w:t>
      </w:r>
      <w:r>
        <w:lastRenderedPageBreak/>
        <w:t xml:space="preserve">di tipo antinfortunistico; del decoro e della compatibilità ambientale: con l’intento di evitare che nel rapporto tra pubblicità e ambiente quest’ultimo non debba essere penalizzato, ma, al contrario, possa trovare giovamento dall’inserimento di mezzi pubblicitari, progettati, costruiti e localizzati secondo criteri di compatibilità ambientale; della funzionalità: intesa anzitutto come occasione di aumento della fruibilità del contesto cittadino, laddove il Piano, oltre a governare l’esistente e le forme tradizionali di pubblicità, si pone come strumento di indirizzo, disciplinando l’inserimento di mezzi pubblicitari di concezione più moderna associati a funzioni di pubblica utilità oppure a elementi di arredo urbano. </w:t>
      </w:r>
    </w:p>
    <w:p w14:paraId="6FCA4CC5" w14:textId="1B97BA24" w:rsidR="008D25DD" w:rsidRDefault="008D25DD" w:rsidP="00E83029">
      <w:pPr>
        <w:jc w:val="both"/>
      </w:pPr>
      <w:r>
        <w:t xml:space="preserve">Ecco quindi che con la modifica proposta si vuole portare più comuni </w:t>
      </w:r>
      <w:r w:rsidR="00F237B7">
        <w:t xml:space="preserve">possibili </w:t>
      </w:r>
      <w:r>
        <w:t>ad organizzarsi con un P</w:t>
      </w:r>
      <w:r w:rsidR="00F237B7">
        <w:t>GIP</w:t>
      </w:r>
      <w:r>
        <w:t xml:space="preserve">, strumento che </w:t>
      </w:r>
      <w:r w:rsidR="00F237B7">
        <w:t xml:space="preserve">purtroppo </w:t>
      </w:r>
      <w:r>
        <w:t>in questi anni è stato sottovalutato da moltissime amministrazioni locali.</w:t>
      </w:r>
    </w:p>
    <w:p w14:paraId="77A185B0" w14:textId="28794695" w:rsidR="00625A06" w:rsidRDefault="008D25DD" w:rsidP="00625A06">
      <w:pPr>
        <w:jc w:val="both"/>
      </w:pPr>
      <w:r>
        <w:t>Eppure per la giustizia amministrativa e, segnatamente, per il Consiglio di Stato, il PGIP, al pari del Piano di Massima Occupabilità, ha natura pianificatoria di carattere generale e si tratta di uno strumento urbanistico obbligatorio che dovrebbe porsi l’obiettivo, minimo, di contemperare i diversi interessi in campo, da un lato quello di consentire la comunicazione pubblicitaria e promozionale a garanzia delle libertà economiche e, dall’altro, quello di evitare uno sviluppo disarmonico ed incontrollato della stessa nella tutela di bellezze artistiche, architettoniche e di decoro urbano.</w:t>
      </w:r>
    </w:p>
    <w:p w14:paraId="16E5822C" w14:textId="0D29AD96" w:rsidR="00F237B7" w:rsidRDefault="00F237B7" w:rsidP="00625A06">
      <w:pPr>
        <w:jc w:val="both"/>
      </w:pPr>
      <w:r>
        <w:t>Ben venga quindi questa modifica che potrà portare solo benefici nel puzzle formato dagli oltre 8.000 territori comunali del nostro Paese.</w:t>
      </w:r>
    </w:p>
    <w:p w14:paraId="38203B31" w14:textId="2288A8CA" w:rsidR="008D25DD" w:rsidRDefault="008D25DD" w:rsidP="00625A06">
      <w:pPr>
        <w:jc w:val="both"/>
      </w:pPr>
      <w:r>
        <w:t>Veniamo ora ad analizzare la seconda modifica proposta che riguarda la lettera G del comma 821. Come detto con questa lettera il Legislatore ha previsto l’applicazione di un’indennità da calcolare a carico di chi occupa o espone pubblicità in maniera abusiva.</w:t>
      </w:r>
    </w:p>
    <w:p w14:paraId="0A34D64A" w14:textId="130C85E3" w:rsidR="008D25DD" w:rsidRDefault="008D25DD" w:rsidP="008D25DD">
      <w:pPr>
        <w:spacing w:before="240" w:after="240"/>
        <w:jc w:val="both"/>
        <w:rPr>
          <w:i/>
        </w:rPr>
      </w:pPr>
      <w:r>
        <w:t>Il testo di legge attuale prevede: “</w:t>
      </w:r>
      <w:r>
        <w:rPr>
          <w:i/>
        </w:rPr>
        <w:t>g) per le occupazioni e la diffusione di messaggi pubblicitari realizzate abusivamente, la previsione di un’indennità pari al canone maggiorato fino al 50 per cento, considerando permanenti le occupazioni e la diffusione di messaggi pubblicitari realizzate con impianti o manufatti di carattere stabile e presumendo come temporanee le occupazioni e la diffusione di messaggi pubblicitari effettuate dal trentesimo giorno antecedente la data del verbale di accertamento, redatto da competente pubblico ufficiale;”</w:t>
      </w:r>
    </w:p>
    <w:p w14:paraId="5B2A56C3" w14:textId="2B6B4D2F" w:rsidR="008D25DD" w:rsidRDefault="008D25DD" w:rsidP="008D25DD">
      <w:pPr>
        <w:spacing w:before="240" w:after="240"/>
        <w:jc w:val="both"/>
        <w:rPr>
          <w:iCs/>
        </w:rPr>
      </w:pPr>
      <w:r>
        <w:rPr>
          <w:iCs/>
        </w:rPr>
        <w:t xml:space="preserve">La proposta di modifica prevede l’aggiunta delle parole </w:t>
      </w:r>
      <w:r w:rsidRPr="008D25DD">
        <w:rPr>
          <w:i/>
        </w:rPr>
        <w:t>“in ogni caso”</w:t>
      </w:r>
      <w:r>
        <w:rPr>
          <w:i/>
        </w:rPr>
        <w:t xml:space="preserve"> </w:t>
      </w:r>
      <w:r>
        <w:rPr>
          <w:iCs/>
        </w:rPr>
        <w:t>nel contesto della frase dedicata alle occupazioni e</w:t>
      </w:r>
      <w:r w:rsidR="00F237B7">
        <w:rPr>
          <w:iCs/>
        </w:rPr>
        <w:t>d</w:t>
      </w:r>
      <w:r>
        <w:rPr>
          <w:iCs/>
        </w:rPr>
        <w:t xml:space="preserve"> esposizioni pubblicitarie abusive temporanee. Con questa modifica, il Legislatore va a chiarire la portata della disposizione con la quale si stabilisce la durata da utilizzare per il calcolo dell’indennità.</w:t>
      </w:r>
    </w:p>
    <w:p w14:paraId="5F9A48A3" w14:textId="77777777" w:rsidR="00865BCF" w:rsidRDefault="00865BCF" w:rsidP="00865BCF">
      <w:pPr>
        <w:spacing w:before="240" w:after="240"/>
        <w:jc w:val="both"/>
      </w:pPr>
      <w:r>
        <w:t>Il concetto di indennità deriva dalla disciplina COSAP, in particolare trova origine dalla lettera G del comma 2 dell’articolo 63 del D. Lgs 446/97. Il canone, a differenza dei regimi tributari, è strettamente vincolato al rilascio di un atto amministrativo di concessione o di autorizzazione, così che, tutte le volte che siamo di fronte ad una occupazione di suolo pubblico abusiva o ad una esposizione pubblicitaria senza titolo, diventa illogico parlare di canone. Si è voluto pertanto prevedere una diversa voce, l’indennità appunto, da utilizzare tutte le volte che si deve richiedere il pagamento derivante proprio dall’occupazione o dall’esposizione pubblicitaria abusiva o difforme rispetto al titolo.</w:t>
      </w:r>
    </w:p>
    <w:p w14:paraId="3CE17520" w14:textId="77777777" w:rsidR="00865BCF" w:rsidRDefault="00865BCF" w:rsidP="00865BCF">
      <w:pPr>
        <w:spacing w:before="240" w:after="240"/>
        <w:jc w:val="both"/>
      </w:pPr>
      <w:r>
        <w:t>Il Legislatore in questo senso ha previsto a carico di chi realizza un abuso, un’obbligazione patrimoniale che sia quanto meno uguale a quella che avrebbero pagato se avesse richiesto la concessione o l’autorizzazione all’ente competente. Il legislatore ha previsto di più, dando la possibilità agli enti di definire l’importo dell’indennità maggiorando fino al 50 per cento rispetto a quanto avviene con le tariffe del canone ordinario.</w:t>
      </w:r>
    </w:p>
    <w:p w14:paraId="30571349" w14:textId="77777777" w:rsidR="00865BCF" w:rsidRDefault="00865BCF" w:rsidP="00865BCF">
      <w:pPr>
        <w:spacing w:before="240" w:after="240"/>
        <w:jc w:val="both"/>
      </w:pPr>
      <w:r>
        <w:t xml:space="preserve">L’indennità come detto si innesca nel momento in cui si deve calcolare il dovuto per un’occupazione di suolo pubblico abusiva, ovvero senza concessione, o con destinazione d’uso diversa da quella prevista in concessione, oppure per una diffusione di messaggi pubblicitari realizzata senza la preventiva autorizzazione, </w:t>
      </w:r>
      <w:r>
        <w:lastRenderedPageBreak/>
        <w:t>ovvero risultanti non conformi alle condizioni stabilite dall'autorizzazione per forma, contenuto, dimensioni, sistemazione o ubicazione.</w:t>
      </w:r>
    </w:p>
    <w:p w14:paraId="3AF9E038" w14:textId="2CFBDBE9" w:rsidR="00865BCF" w:rsidRDefault="00865BCF" w:rsidP="00865BCF">
      <w:pPr>
        <w:spacing w:before="240" w:after="240"/>
        <w:jc w:val="both"/>
      </w:pPr>
      <w:r>
        <w:t>Il Legislatore nel punto G ha previsto il criterio di calcolo da adottare quando ci troviamo di fronte ad una occupazione/esposizione abusiva, chiarendo che per le occupazioni e la diffusione di messaggi pubblicitari realizzate con impianti o manufatti di carattere stabile, si dovrà partire dalla tariffa permanente, ovvero quella definita ad anno solare, il cui importo è stato fissato al comma 826, ma che ogni ente potrà modificare in base ai propri equilibri, mentre, per le occupazioni temporanee, il Legislatore ha adottato un criterio di calcolo basato su una finzione giuridica, ovvero ipotizzando l’occupazione o l’esposizione pubblicitaria temporanea come se fosse stata realizzata nei trenta giorni antecedenti a quella del verbale di accertamento.</w:t>
      </w:r>
    </w:p>
    <w:p w14:paraId="1F1BA90D" w14:textId="77777777" w:rsidR="00865BCF" w:rsidRDefault="00865BCF" w:rsidP="00865BCF">
      <w:pPr>
        <w:spacing w:before="240" w:after="240"/>
        <w:jc w:val="both"/>
      </w:pPr>
      <w:r>
        <w:t>Una misura che deve intendersi come modalità di calcolo afflittiva nei confronti del trasgressore che ha occupato/esposto abusivamente. Un metodo di calcolo che si rende necessario per non svilire l’attività di accertamento che viceversa dovrebbe eseguirsi solo per la data in cui è stata accertata l’occupazione o l’esposizione pubblicitaria abusiva. Quindi, a tutti gli effetti, una misura afflittiva al fine di prevenire l’evento contrario all’ordinamento cui si riferiscono, e risarcitoria per il danno procurato alla P.A. e alla collettività.</w:t>
      </w:r>
    </w:p>
    <w:p w14:paraId="03310FFF" w14:textId="2DD29A2B" w:rsidR="00865BCF" w:rsidRDefault="00865BCF" w:rsidP="00865BCF">
      <w:pPr>
        <w:spacing w:before="240" w:after="240"/>
        <w:jc w:val="both"/>
      </w:pPr>
      <w:r>
        <w:t xml:space="preserve">Su questo tema si era aperto tuttavia un dibattito, perché se è corretto e pacifico prevedere di calcolare il dovuto per una occupazione o esposizione temporanea applicando il calcolo di 30 giorni, è da valutare se in sede di contraddittorio con il contribuente, la misura possa o meno essere rettificata davanti ad una prova documentale o testimoniale che porti a definire inequivocabilmente una durata inferiore ai 30 giorni stabiliti dal legislatore. Diventa dirimente il tipo di presunzione derivante dal verbale di accertamento. Potrebbero infatti porsi profili di criticità tra presunzione </w:t>
      </w:r>
      <w:r w:rsidRPr="00865BCF">
        <w:rPr>
          <w:i/>
          <w:iCs/>
        </w:rPr>
        <w:t>iuris et de iure</w:t>
      </w:r>
      <w:r>
        <w:t xml:space="preserve">, che non ammette prova contraria, e </w:t>
      </w:r>
      <w:r w:rsidRPr="00865BCF">
        <w:rPr>
          <w:i/>
          <w:iCs/>
        </w:rPr>
        <w:t>iuris tantum</w:t>
      </w:r>
      <w:r>
        <w:t>, che invece la ammette.</w:t>
      </w:r>
    </w:p>
    <w:p w14:paraId="0C3F6CED" w14:textId="4C95C966" w:rsidR="00865BCF" w:rsidRDefault="00865BCF" w:rsidP="00865BCF">
      <w:pPr>
        <w:spacing w:before="240" w:after="240"/>
        <w:jc w:val="both"/>
      </w:pPr>
      <w:r>
        <w:t>Da una parte c’era chi riteneva che la scelta del Legislatore fosse legata meramente ad un criterio di calcolo. Un utilizzo del conteggio per 30 giorni senza alcuna effettiva presunzione sulla effettiva durata, ma basandosi solamente sulla presenza dell’abuso quel determinato giorno individuato nel verbale del pubblico ufficiale. In questo caso eventuali prove sull’effettiva durata dell’occupazione non sarebbero state oggetto di valutazione o possibile rettifica del provvedimento emesso. Dall’altra invece chi riteneva che l’accertamento si basasse su una effettiva presunzione di occupazione, e il calcolo dei 30 giorni derivasse proprio da questo, e di conseguenza si tratti di una cosiddetta presunzione iuris tantum e quindi soggetta a prova contraria.</w:t>
      </w:r>
    </w:p>
    <w:p w14:paraId="5033E533" w14:textId="55A618E8" w:rsidR="00865BCF" w:rsidRDefault="00865BCF" w:rsidP="00865BCF">
      <w:pPr>
        <w:spacing w:before="240" w:after="240"/>
        <w:jc w:val="both"/>
      </w:pPr>
      <w:r>
        <w:t xml:space="preserve">Con </w:t>
      </w:r>
      <w:r w:rsidR="00366250">
        <w:t xml:space="preserve">la modifica proposta </w:t>
      </w:r>
      <w:r w:rsidR="00F237B7">
        <w:t>si va proprio a dirimere la questione e si andrà “</w:t>
      </w:r>
      <w:r w:rsidR="00F237B7" w:rsidRPr="00F237B7">
        <w:rPr>
          <w:i/>
          <w:iCs/>
        </w:rPr>
        <w:t>in ogni caso</w:t>
      </w:r>
      <w:r w:rsidR="00F237B7">
        <w:t>” ad applicare la durata di 30 giorni come criterio di calcolo da utilizzare tutte le volte che si accerta un’occupazione o una esposizione pubblicitari abusiva temporanea, indipendentemente dalla effettiva durata.</w:t>
      </w:r>
    </w:p>
    <w:p w14:paraId="799CB36F" w14:textId="77777777" w:rsidR="008D25DD" w:rsidRPr="008D25DD" w:rsidRDefault="008D25DD" w:rsidP="008D25DD">
      <w:pPr>
        <w:spacing w:before="240" w:after="240"/>
        <w:jc w:val="both"/>
        <w:rPr>
          <w:iCs/>
        </w:rPr>
      </w:pPr>
    </w:p>
    <w:p w14:paraId="33D6CAA1" w14:textId="280D8BA8" w:rsidR="008D25DD" w:rsidRPr="00E83029" w:rsidRDefault="008D25DD" w:rsidP="00625A06">
      <w:pPr>
        <w:jc w:val="both"/>
      </w:pPr>
    </w:p>
    <w:p w14:paraId="1EC814E5" w14:textId="77777777" w:rsidR="00E83029" w:rsidRPr="00E83029" w:rsidRDefault="00E83029" w:rsidP="00625A06">
      <w:pPr>
        <w:jc w:val="both"/>
      </w:pPr>
    </w:p>
    <w:p w14:paraId="23B7877F" w14:textId="77777777" w:rsidR="00625A06" w:rsidRDefault="00625A06" w:rsidP="00E83029">
      <w:pPr>
        <w:jc w:val="both"/>
      </w:pPr>
    </w:p>
    <w:sectPr w:rsidR="00625A0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le Serif Text">
    <w:altName w:val="Sole Serif Text"/>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D96B53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82185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235"/>
    <w:rsid w:val="00060149"/>
    <w:rsid w:val="00063280"/>
    <w:rsid w:val="0013116B"/>
    <w:rsid w:val="00146429"/>
    <w:rsid w:val="00205B39"/>
    <w:rsid w:val="00332356"/>
    <w:rsid w:val="00366250"/>
    <w:rsid w:val="00476DED"/>
    <w:rsid w:val="004A753D"/>
    <w:rsid w:val="004C35CE"/>
    <w:rsid w:val="00560A95"/>
    <w:rsid w:val="005C5942"/>
    <w:rsid w:val="005F7C52"/>
    <w:rsid w:val="00621C14"/>
    <w:rsid w:val="00625A06"/>
    <w:rsid w:val="0065568D"/>
    <w:rsid w:val="006C0C6E"/>
    <w:rsid w:val="006C329E"/>
    <w:rsid w:val="00703996"/>
    <w:rsid w:val="007B1D34"/>
    <w:rsid w:val="00816F43"/>
    <w:rsid w:val="00865BCF"/>
    <w:rsid w:val="008D25DD"/>
    <w:rsid w:val="00934E5B"/>
    <w:rsid w:val="00A62B01"/>
    <w:rsid w:val="00B76F16"/>
    <w:rsid w:val="00C3345A"/>
    <w:rsid w:val="00C4143F"/>
    <w:rsid w:val="00C6207D"/>
    <w:rsid w:val="00C86235"/>
    <w:rsid w:val="00D80C8B"/>
    <w:rsid w:val="00DC634A"/>
    <w:rsid w:val="00E21F8C"/>
    <w:rsid w:val="00E70E43"/>
    <w:rsid w:val="00E74A45"/>
    <w:rsid w:val="00E83029"/>
    <w:rsid w:val="00F237B7"/>
    <w:rsid w:val="00FC18A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E84A5"/>
  <w15:chartTrackingRefBased/>
  <w15:docId w15:val="{F44C774C-F2C5-4272-9DED-0331FA618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Default">
    <w:name w:val="Default"/>
    <w:rsid w:val="00E83029"/>
    <w:pPr>
      <w:autoSpaceDE w:val="0"/>
      <w:autoSpaceDN w:val="0"/>
      <w:adjustRightInd w:val="0"/>
      <w:spacing w:after="0" w:line="240" w:lineRule="auto"/>
    </w:pPr>
    <w:rPr>
      <w:rFonts w:ascii="Sole Serif Text" w:hAnsi="Sole Serif Text" w:cs="Sole Serif Text"/>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TotalTime>
  <Pages>3</Pages>
  <Words>1698</Words>
  <Characters>9683</Characters>
  <Application>Microsoft Office Word</Application>
  <DocSecurity>0</DocSecurity>
  <Lines>80</Lines>
  <Paragraphs>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21</cp:revision>
  <dcterms:created xsi:type="dcterms:W3CDTF">2023-10-02T10:02:00Z</dcterms:created>
  <dcterms:modified xsi:type="dcterms:W3CDTF">2023-10-06T13:10:00Z</dcterms:modified>
</cp:coreProperties>
</file>