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DEFF" w14:textId="58FA1425" w:rsidR="006C0C6E" w:rsidRDefault="006C0C6E" w:rsidP="00A62B01">
      <w:pPr>
        <w:rPr>
          <w:b/>
          <w:bCs/>
        </w:rPr>
      </w:pPr>
      <w:r>
        <w:rPr>
          <w:b/>
          <w:bCs/>
        </w:rPr>
        <w:t xml:space="preserve">Titolo: </w:t>
      </w:r>
      <w:r w:rsidR="00934E5B">
        <w:rPr>
          <w:b/>
          <w:bCs/>
        </w:rPr>
        <w:t xml:space="preserve">LE MODIFICHE ALLA DISCIPLINA CUP NELLA BOZZA DI DECRETO DELEGA </w:t>
      </w:r>
      <w:r w:rsidR="00A62B01" w:rsidRPr="004A753D">
        <w:rPr>
          <w:b/>
          <w:bCs/>
        </w:rPr>
        <w:t xml:space="preserve"> </w:t>
      </w:r>
    </w:p>
    <w:p w14:paraId="3D2EEA74" w14:textId="49708FF5" w:rsidR="00A62B01" w:rsidRPr="004A753D" w:rsidRDefault="004A753D" w:rsidP="00A62B01">
      <w:pPr>
        <w:rPr>
          <w:b/>
          <w:bCs/>
        </w:rPr>
      </w:pPr>
      <w:r w:rsidRPr="004A753D">
        <w:rPr>
          <w:b/>
          <w:bCs/>
        </w:rPr>
        <w:t xml:space="preserve">PARTE </w:t>
      </w:r>
      <w:r w:rsidR="001817D0">
        <w:rPr>
          <w:b/>
          <w:bCs/>
        </w:rPr>
        <w:t>QUINTA</w:t>
      </w:r>
      <w:r w:rsidR="006C0C6E">
        <w:rPr>
          <w:b/>
          <w:bCs/>
        </w:rPr>
        <w:t>: LA MODIFICA DEL COMMA 8</w:t>
      </w:r>
      <w:r w:rsidR="005F7C52">
        <w:rPr>
          <w:b/>
          <w:bCs/>
        </w:rPr>
        <w:t>2</w:t>
      </w:r>
      <w:r w:rsidR="00105CA7">
        <w:rPr>
          <w:b/>
          <w:bCs/>
        </w:rPr>
        <w:t>3</w:t>
      </w:r>
      <w:r w:rsidR="006C0C6E">
        <w:rPr>
          <w:b/>
          <w:bCs/>
        </w:rPr>
        <w:t xml:space="preserve"> </w:t>
      </w:r>
      <w:r w:rsidR="00934E5B">
        <w:rPr>
          <w:b/>
          <w:bCs/>
        </w:rPr>
        <w:t xml:space="preserve"> </w:t>
      </w:r>
    </w:p>
    <w:p w14:paraId="1298A494" w14:textId="6CFDABED" w:rsidR="00A62B01" w:rsidRDefault="0013116B" w:rsidP="0013116B">
      <w:pPr>
        <w:jc w:val="both"/>
      </w:pPr>
      <w:r>
        <w:t xml:space="preserve">Proseguiamo nell’analisi dell’articolo 26 presente nella </w:t>
      </w:r>
      <w:r w:rsidR="00A62B01">
        <w:t xml:space="preserve">bozza </w:t>
      </w:r>
      <w:r w:rsidR="00C3345A">
        <w:t xml:space="preserve">di decreto </w:t>
      </w:r>
      <w:r w:rsidR="00C3345A" w:rsidRPr="00C3345A">
        <w:t>legislativo di attuazione della delega</w:t>
      </w:r>
      <w:r w:rsidR="00C3345A">
        <w:t xml:space="preserve"> </w:t>
      </w:r>
      <w:r w:rsidR="00C3345A" w:rsidRPr="00C3345A">
        <w:t xml:space="preserve">sulla fiscalità </w:t>
      </w:r>
      <w:r w:rsidR="004A753D" w:rsidRPr="00C3345A">
        <w:t>locale</w:t>
      </w:r>
      <w:r w:rsidR="004A753D">
        <w:t>, dedicato</w:t>
      </w:r>
      <w:r w:rsidR="00A62B01">
        <w:t xml:space="preserve"> </w:t>
      </w:r>
      <w:r w:rsidR="00C3345A">
        <w:t>alle</w:t>
      </w:r>
      <w:r w:rsidR="00A62B01">
        <w:t xml:space="preserve"> modifiche </w:t>
      </w:r>
      <w:r w:rsidR="00C3345A">
        <w:t>della</w:t>
      </w:r>
      <w:r w:rsidR="00A62B01">
        <w:t xml:space="preserve"> disciplina del canone unico patrimoniale – CUP.</w:t>
      </w:r>
    </w:p>
    <w:p w14:paraId="280B3AFD" w14:textId="44008FCA" w:rsidR="003C44EE" w:rsidRDefault="0013116B" w:rsidP="003C44EE">
      <w:pPr>
        <w:spacing w:before="240" w:after="240"/>
        <w:jc w:val="both"/>
        <w:rPr>
          <w:i/>
        </w:rPr>
      </w:pPr>
      <w:r>
        <w:t xml:space="preserve">In questo approfondimento andiamo a valutare le modifiche che verrebbero apportate </w:t>
      </w:r>
      <w:r w:rsidR="005F7C52">
        <w:t xml:space="preserve">al </w:t>
      </w:r>
      <w:r>
        <w:t>comma 8</w:t>
      </w:r>
      <w:r w:rsidR="005F7C52">
        <w:t>2</w:t>
      </w:r>
      <w:r w:rsidR="00105CA7">
        <w:t>3</w:t>
      </w:r>
      <w:r>
        <w:t xml:space="preserve"> </w:t>
      </w:r>
      <w:r w:rsidR="003C44EE">
        <w:t>con il quale il Legislatore disciplina il soggetto passivo e, coerentemente con l’impostazione data alla nuova entrata, stabilisce che: “</w:t>
      </w:r>
      <w:r w:rsidR="003C44EE">
        <w:rPr>
          <w:i/>
        </w:rPr>
        <w:t>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w:t>
      </w:r>
    </w:p>
    <w:p w14:paraId="51E2C736" w14:textId="17E464AD" w:rsidR="003C44EE" w:rsidRDefault="003C44EE" w:rsidP="003C44EE">
      <w:pPr>
        <w:spacing w:before="240" w:after="240"/>
        <w:jc w:val="both"/>
      </w:pPr>
      <w:r>
        <w:t>In prima battuta, quindi la naturale individuazione del soggetto responsabile del pagamento viene ricondotta al titolare del titolo amministrativo. In linea con le altre disposizioni normative</w:t>
      </w:r>
      <w:r w:rsidR="00547938">
        <w:t xml:space="preserve"> orientate a legare </w:t>
      </w:r>
      <w:r>
        <w:t>in modo indissolubile la fase amministrativa</w:t>
      </w:r>
      <w:r w:rsidR="00547938">
        <w:t xml:space="preserve"> con quella fiscale, tanto che </w:t>
      </w:r>
      <w:r>
        <w:t>diventa naturale la coincidenza di soggetti tra chi è titolare della concessione o dell’autorizzazione e chi dovrà versare il canone.</w:t>
      </w:r>
    </w:p>
    <w:p w14:paraId="510F971D" w14:textId="77777777" w:rsidR="009A1C50" w:rsidRDefault="003C44EE" w:rsidP="003C44EE">
      <w:pPr>
        <w:spacing w:before="240" w:after="240"/>
        <w:jc w:val="both"/>
      </w:pPr>
      <w:r>
        <w:t xml:space="preserve">Il Legislatore correttamente disciplina anche l’ipotesi di occupazione realizzata senza titolo, disponendo in questo caso che la soggettività passiva sia fatta ricadere su chi effettua materialmente l’occupazione o la diffusione del messaggio pubblicitario, stabilendo anche che, per la componente pubblicitaria del canone, sia obbligato in solido il soggetto pubblicizzato. </w:t>
      </w:r>
    </w:p>
    <w:p w14:paraId="04015184" w14:textId="3AF4A7BD" w:rsidR="003C44EE" w:rsidRDefault="003C44EE" w:rsidP="003C44EE">
      <w:pPr>
        <w:spacing w:before="240" w:after="240"/>
        <w:jc w:val="both"/>
      </w:pPr>
      <w:r>
        <w:t>Di fatto il Legislatore ha voluto confermare quel vantaggio già riconosciuto ai Comuni in materia di Imposta Comunale sulla Pubblicità, quando veniva consentito di svolgere la propria attività di accertamento nei confronti del soggetto che beneficiava del messaggio diffuso per mezzo di un impianto esposto abusivamente.</w:t>
      </w:r>
    </w:p>
    <w:p w14:paraId="499EDCDE" w14:textId="5DD946B7" w:rsidR="001817D0" w:rsidRDefault="005F7C52" w:rsidP="00105CA7">
      <w:pPr>
        <w:jc w:val="both"/>
        <w:rPr>
          <w:kern w:val="0"/>
          <w14:ligatures w14:val="none"/>
        </w:rPr>
      </w:pPr>
      <w:r>
        <w:rPr>
          <w:kern w:val="0"/>
          <w14:ligatures w14:val="none"/>
        </w:rPr>
        <w:t>Nel testo proposto per la modifica della disciplina</w:t>
      </w:r>
      <w:r w:rsidR="00886058">
        <w:rPr>
          <w:kern w:val="0"/>
          <w14:ligatures w14:val="none"/>
        </w:rPr>
        <w:t xml:space="preserve">, si </w:t>
      </w:r>
      <w:r w:rsidR="00A466C6">
        <w:rPr>
          <w:kern w:val="0"/>
          <w14:ligatures w14:val="none"/>
        </w:rPr>
        <w:t>andrebbe</w:t>
      </w:r>
      <w:r w:rsidR="00886058">
        <w:rPr>
          <w:kern w:val="0"/>
          <w14:ligatures w14:val="none"/>
        </w:rPr>
        <w:t xml:space="preserve"> invece a regolare un aspetto nuovo, solo parzialmente attinente all’oggetto del comma. Si introduce </w:t>
      </w:r>
      <w:r w:rsidR="00A442D2">
        <w:rPr>
          <w:kern w:val="0"/>
          <w14:ligatures w14:val="none"/>
        </w:rPr>
        <w:t xml:space="preserve">infatti </w:t>
      </w:r>
      <w:r w:rsidR="00886058">
        <w:rPr>
          <w:kern w:val="0"/>
          <w14:ligatures w14:val="none"/>
        </w:rPr>
        <w:t>una disposizione che va a disciplinare una particolare situazione legata all</w:t>
      </w:r>
      <w:r w:rsidR="00A442D2">
        <w:rPr>
          <w:kern w:val="0"/>
          <w14:ligatures w14:val="none"/>
        </w:rPr>
        <w:t>a</w:t>
      </w:r>
      <w:r w:rsidR="00886058">
        <w:rPr>
          <w:kern w:val="0"/>
          <w14:ligatures w14:val="none"/>
        </w:rPr>
        <w:t xml:space="preserve"> fattispecie delle pre-insegne e al criterio previsto per la loro misurazione.  </w:t>
      </w:r>
      <w:r>
        <w:rPr>
          <w:kern w:val="0"/>
          <w14:ligatures w14:val="none"/>
        </w:rPr>
        <w:t xml:space="preserve"> </w:t>
      </w:r>
    </w:p>
    <w:p w14:paraId="3523087C" w14:textId="7E4F7740" w:rsidR="0013116B" w:rsidRDefault="00886058" w:rsidP="00105CA7">
      <w:pPr>
        <w:jc w:val="both"/>
        <w:rPr>
          <w:i/>
          <w:iCs/>
          <w:kern w:val="0"/>
          <w14:ligatures w14:val="none"/>
        </w:rPr>
      </w:pPr>
      <w:r>
        <w:rPr>
          <w:kern w:val="0"/>
          <w14:ligatures w14:val="none"/>
        </w:rPr>
        <w:t>S</w:t>
      </w:r>
      <w:r w:rsidR="005F7C52">
        <w:rPr>
          <w:kern w:val="0"/>
          <w14:ligatures w14:val="none"/>
        </w:rPr>
        <w:t xml:space="preserve">i legge all’articolo 26, comma 1 lettera </w:t>
      </w:r>
      <w:r w:rsidR="00105CA7">
        <w:rPr>
          <w:kern w:val="0"/>
          <w14:ligatures w14:val="none"/>
        </w:rPr>
        <w:t>E</w:t>
      </w:r>
      <w:r w:rsidR="005F7C52">
        <w:rPr>
          <w:kern w:val="0"/>
          <w14:ligatures w14:val="none"/>
        </w:rPr>
        <w:t xml:space="preserve">: </w:t>
      </w:r>
      <w:r w:rsidR="00476DED" w:rsidRPr="00476DED">
        <w:rPr>
          <w:kern w:val="0"/>
          <w14:ligatures w14:val="none"/>
        </w:rPr>
        <w:t xml:space="preserve"> </w:t>
      </w:r>
      <w:r w:rsidR="00476DED">
        <w:rPr>
          <w:kern w:val="0"/>
          <w14:ligatures w14:val="none"/>
        </w:rPr>
        <w:t>“</w:t>
      </w:r>
      <w:r w:rsidR="00105CA7" w:rsidRPr="000B110F">
        <w:rPr>
          <w:kern w:val="0"/>
          <w14:ligatures w14:val="none"/>
        </w:rPr>
        <w:t>al comma 823 in fine è aggiunto il seguente periodo</w:t>
      </w:r>
      <w:r w:rsidR="00105CA7" w:rsidRPr="00105CA7">
        <w:rPr>
          <w:i/>
          <w:iCs/>
          <w:kern w:val="0"/>
          <w14:ligatures w14:val="none"/>
        </w:rPr>
        <w:t>: “Nel caso di installazione di</w:t>
      </w:r>
      <w:r w:rsidR="00105CA7">
        <w:rPr>
          <w:i/>
          <w:iCs/>
          <w:kern w:val="0"/>
          <w14:ligatures w14:val="none"/>
        </w:rPr>
        <w:t xml:space="preserve"> </w:t>
      </w:r>
      <w:r w:rsidR="00105CA7" w:rsidRPr="00105CA7">
        <w:rPr>
          <w:i/>
          <w:iCs/>
          <w:kern w:val="0"/>
          <w14:ligatures w14:val="none"/>
        </w:rPr>
        <w:t>una pluralità di segnali turistici o di territorio o di frecce direzionali, su un unico</w:t>
      </w:r>
      <w:r w:rsidR="00105CA7">
        <w:rPr>
          <w:i/>
          <w:iCs/>
          <w:kern w:val="0"/>
          <w14:ligatures w14:val="none"/>
        </w:rPr>
        <w:t xml:space="preserve"> </w:t>
      </w:r>
      <w:r w:rsidR="00105CA7" w:rsidRPr="00105CA7">
        <w:rPr>
          <w:i/>
          <w:iCs/>
          <w:kern w:val="0"/>
          <w14:ligatures w14:val="none"/>
        </w:rPr>
        <w:t>impianto pubblicitario, anche riferiti a soggetti ed aziende diverse, la superficie da</w:t>
      </w:r>
      <w:r w:rsidR="00105CA7">
        <w:rPr>
          <w:i/>
          <w:iCs/>
          <w:kern w:val="0"/>
          <w14:ligatures w14:val="none"/>
        </w:rPr>
        <w:t xml:space="preserve"> </w:t>
      </w:r>
      <w:r w:rsidR="00105CA7" w:rsidRPr="00105CA7">
        <w:rPr>
          <w:i/>
          <w:iCs/>
          <w:kern w:val="0"/>
          <w14:ligatures w14:val="none"/>
        </w:rPr>
        <w:t>assoggettare al canone unico patrimoniale è quella dell’intero impianto oggetto</w:t>
      </w:r>
      <w:r w:rsidR="00105CA7">
        <w:rPr>
          <w:i/>
          <w:iCs/>
          <w:kern w:val="0"/>
          <w14:ligatures w14:val="none"/>
        </w:rPr>
        <w:t xml:space="preserve"> </w:t>
      </w:r>
      <w:r w:rsidR="00105CA7" w:rsidRPr="00105CA7">
        <w:rPr>
          <w:i/>
          <w:iCs/>
          <w:kern w:val="0"/>
          <w14:ligatures w14:val="none"/>
        </w:rPr>
        <w:t>della concessione o dell’autorizzazione. Nell’ipotesi in cui i titolari del</w:t>
      </w:r>
      <w:r w:rsidR="00105CA7">
        <w:rPr>
          <w:i/>
          <w:iCs/>
          <w:kern w:val="0"/>
          <w14:ligatures w14:val="none"/>
        </w:rPr>
        <w:t xml:space="preserve"> </w:t>
      </w:r>
      <w:r w:rsidR="00105CA7" w:rsidRPr="00105CA7">
        <w:rPr>
          <w:i/>
          <w:iCs/>
          <w:kern w:val="0"/>
          <w14:ligatures w14:val="none"/>
        </w:rPr>
        <w:t>provvedimento di concessione o di autorizzazione all’installazione dell’impianto</w:t>
      </w:r>
      <w:r w:rsidR="00105CA7">
        <w:rPr>
          <w:i/>
          <w:iCs/>
          <w:kern w:val="0"/>
          <w14:ligatures w14:val="none"/>
        </w:rPr>
        <w:t xml:space="preserve"> </w:t>
      </w:r>
      <w:r w:rsidR="00105CA7" w:rsidRPr="00105CA7">
        <w:rPr>
          <w:i/>
          <w:iCs/>
          <w:kern w:val="0"/>
          <w14:ligatures w14:val="none"/>
        </w:rPr>
        <w:t>sono diversi, il canone va liquidato distintamente, commisurandolo alla superficie</w:t>
      </w:r>
      <w:r w:rsidR="00105CA7">
        <w:rPr>
          <w:i/>
          <w:iCs/>
          <w:kern w:val="0"/>
          <w14:ligatures w14:val="none"/>
        </w:rPr>
        <w:t xml:space="preserve"> </w:t>
      </w:r>
      <w:r w:rsidR="00105CA7" w:rsidRPr="00105CA7">
        <w:rPr>
          <w:i/>
          <w:iCs/>
          <w:kern w:val="0"/>
          <w14:ligatures w14:val="none"/>
        </w:rPr>
        <w:t>del segnale o del gruppo segnaletico che è nella disponibilità di ciascuno di essi”.</w:t>
      </w:r>
    </w:p>
    <w:p w14:paraId="7C806480" w14:textId="737AC686" w:rsidR="00A442D2" w:rsidRDefault="00A442D2" w:rsidP="00105CA7">
      <w:pPr>
        <w:jc w:val="both"/>
        <w:rPr>
          <w:kern w:val="0"/>
          <w14:ligatures w14:val="none"/>
        </w:rPr>
      </w:pPr>
      <w:r>
        <w:rPr>
          <w:kern w:val="0"/>
          <w14:ligatures w14:val="none"/>
        </w:rPr>
        <w:t>Con questa modifica si</w:t>
      </w:r>
      <w:r w:rsidR="001817D0">
        <w:rPr>
          <w:kern w:val="0"/>
          <w14:ligatures w14:val="none"/>
        </w:rPr>
        <w:t xml:space="preserve"> vuole definitivamente fissare una linea univoca di comportamento quando i singoli enti territoriali si trovano a calcolare il canone dovuto da iniziative che vedono la compresenza di più segnali all’interno dello stesso impianto. La proposta va nella direzione che prevede l’analisi di due requisiti. Uno oggettivo legato al manufatto che ospita i singoli messaggi, l’altro soggettivo che vincola la modalità di applicazione in base al numero di titolari delle concessioni o autorizzazioni in relazione al medesimo impianto.</w:t>
      </w:r>
    </w:p>
    <w:p w14:paraId="4B05EE72" w14:textId="195E8EC9" w:rsidR="001817D0" w:rsidRDefault="001817D0" w:rsidP="00105CA7">
      <w:pPr>
        <w:jc w:val="both"/>
        <w:rPr>
          <w:kern w:val="0"/>
          <w14:ligatures w14:val="none"/>
        </w:rPr>
      </w:pPr>
      <w:r>
        <w:rPr>
          <w:kern w:val="0"/>
          <w14:ligatures w14:val="none"/>
        </w:rPr>
        <w:t>La questione ha origini lontane, con sviluppi nel corso della vita dell’imposta sulla Pubblicità non univoci,</w:t>
      </w:r>
      <w:r w:rsidR="00A466C6">
        <w:rPr>
          <w:kern w:val="0"/>
          <w14:ligatures w14:val="none"/>
        </w:rPr>
        <w:t xml:space="preserve"> anche se oggi piuttosto orientati nel ritenere ciascun messaggio autonomamente soggetto al pagamento del canone. Tuttavia con questa proposta di modifica </w:t>
      </w:r>
      <w:r>
        <w:rPr>
          <w:kern w:val="0"/>
          <w14:ligatures w14:val="none"/>
        </w:rPr>
        <w:t>si è sentita l’esigenza di disporre una linea</w:t>
      </w:r>
      <w:r w:rsidR="00A466C6">
        <w:rPr>
          <w:kern w:val="0"/>
          <w14:ligatures w14:val="none"/>
        </w:rPr>
        <w:t xml:space="preserve">, per certi versi in controtendenza, </w:t>
      </w:r>
      <w:r>
        <w:rPr>
          <w:kern w:val="0"/>
          <w14:ligatures w14:val="none"/>
        </w:rPr>
        <w:t xml:space="preserve"> che trovi </w:t>
      </w:r>
      <w:r w:rsidR="00A466C6">
        <w:rPr>
          <w:kern w:val="0"/>
          <w14:ligatures w14:val="none"/>
        </w:rPr>
        <w:t xml:space="preserve">comunque </w:t>
      </w:r>
      <w:r>
        <w:rPr>
          <w:kern w:val="0"/>
          <w14:ligatures w14:val="none"/>
        </w:rPr>
        <w:t xml:space="preserve">un omogeneo trattamento su tutto il territorio nazionale. </w:t>
      </w:r>
    </w:p>
    <w:p w14:paraId="1A4238A6" w14:textId="0D6A2A62" w:rsidR="001817D0" w:rsidRDefault="00A466C6" w:rsidP="00105CA7">
      <w:pPr>
        <w:jc w:val="both"/>
        <w:rPr>
          <w:kern w:val="0"/>
          <w14:ligatures w14:val="none"/>
        </w:rPr>
      </w:pPr>
      <w:r>
        <w:rPr>
          <w:kern w:val="0"/>
          <w14:ligatures w14:val="none"/>
        </w:rPr>
        <w:lastRenderedPageBreak/>
        <w:t>G</w:t>
      </w:r>
      <w:r w:rsidR="001817D0">
        <w:rPr>
          <w:kern w:val="0"/>
          <w14:ligatures w14:val="none"/>
        </w:rPr>
        <w:t xml:space="preserve">iusto pensare </w:t>
      </w:r>
      <w:r>
        <w:rPr>
          <w:kern w:val="0"/>
          <w14:ligatures w14:val="none"/>
        </w:rPr>
        <w:t xml:space="preserve">da parte del Legislatore </w:t>
      </w:r>
      <w:r w:rsidR="001817D0">
        <w:rPr>
          <w:kern w:val="0"/>
          <w14:ligatures w14:val="none"/>
        </w:rPr>
        <w:t xml:space="preserve">a questa modifica, anche se il pensiero va subito alle molte altre situazioni non definite con l’introduzione del nuovo canone e che rappresentano </w:t>
      </w:r>
      <w:r w:rsidR="00472A22">
        <w:rPr>
          <w:kern w:val="0"/>
          <w14:ligatures w14:val="none"/>
        </w:rPr>
        <w:t xml:space="preserve">ancora </w:t>
      </w:r>
      <w:r w:rsidR="001817D0">
        <w:rPr>
          <w:kern w:val="0"/>
          <w14:ligatures w14:val="none"/>
        </w:rPr>
        <w:t>una criticità</w:t>
      </w:r>
      <w:r w:rsidR="00472A22">
        <w:rPr>
          <w:kern w:val="0"/>
          <w14:ligatures w14:val="none"/>
        </w:rPr>
        <w:t>,</w:t>
      </w:r>
      <w:r w:rsidR="001817D0">
        <w:rPr>
          <w:kern w:val="0"/>
          <w14:ligatures w14:val="none"/>
        </w:rPr>
        <w:t xml:space="preserve">  ben superiore </w:t>
      </w:r>
      <w:r w:rsidR="00472A22">
        <w:rPr>
          <w:kern w:val="0"/>
          <w14:ligatures w14:val="none"/>
        </w:rPr>
        <w:t xml:space="preserve">a questa, </w:t>
      </w:r>
      <w:r>
        <w:rPr>
          <w:kern w:val="0"/>
          <w14:ligatures w14:val="none"/>
        </w:rPr>
        <w:t>voluta proporre peraltro con una linea applicativa discutibile, che favorisce le ditte specializzate del settore e penalizza ancora una volta i soggetti attivi dell’entrata.</w:t>
      </w:r>
    </w:p>
    <w:p w14:paraId="0FE6512F" w14:textId="5862EA03" w:rsidR="00472A22" w:rsidRPr="00472A22" w:rsidRDefault="00472A22" w:rsidP="00472A22">
      <w:pPr>
        <w:jc w:val="both"/>
        <w:rPr>
          <w:kern w:val="0"/>
          <w14:ligatures w14:val="none"/>
        </w:rPr>
      </w:pPr>
      <w:r>
        <w:rPr>
          <w:kern w:val="0"/>
          <w14:ligatures w14:val="none"/>
        </w:rPr>
        <w:t xml:space="preserve">Tra gli aspetti da rilevare su questa disposizione c’è anche la sottintesa e definita attrazione nel presupposto applicativo delle indicazioni stradali e dei segnali turistici e di territorio. Gia in passato su questo si era espressa la Corte di </w:t>
      </w:r>
      <w:r w:rsidRPr="00472A22">
        <w:rPr>
          <w:kern w:val="0"/>
          <w14:ligatures w14:val="none"/>
        </w:rPr>
        <w:t>Cassazione con l’ordinanza n. 8616/14, 17852/2004 seconda la quale</w:t>
      </w:r>
      <w:r>
        <w:rPr>
          <w:i/>
          <w:iCs/>
          <w:kern w:val="0"/>
          <w14:ligatures w14:val="none"/>
        </w:rPr>
        <w:t>: “</w:t>
      </w:r>
      <w:r w:rsidRPr="00472A22">
        <w:rPr>
          <w:i/>
          <w:iCs/>
          <w:kern w:val="0"/>
          <w14:ligatures w14:val="none"/>
        </w:rPr>
        <w:t>le indicazioni stradali e i segnali turistici e di territorio che forniscono agli utenti informazioni necessarie o utili per la guida e la individuazione di località, itinerari, servizi e impianti, svolgono per la loro sostanziale natura di insegne, anche una funzione pubblicitaria tassabile, ai sensi dell'art. 5 D.Lgs. cit.. Non può, d'altra parte, non rilevarsi come le indicazioni oggetto di controversia siano state esposte in un contesto di esercizio d'attività commerciale, e, quand'anche non direttamente volte a promuovere l'immagine o i prodotti dell'impresa interessata, tuttavia, si rivelano utili o necessarie ad un più proficuo svolgimento dell'attività d'impresa .…”.</w:t>
      </w:r>
    </w:p>
    <w:p w14:paraId="43B737B2" w14:textId="709F91D4" w:rsidR="00A91243" w:rsidRDefault="00A91243" w:rsidP="00105CA7">
      <w:pPr>
        <w:jc w:val="both"/>
        <w:rPr>
          <w:kern w:val="0"/>
          <w14:ligatures w14:val="none"/>
        </w:rPr>
      </w:pPr>
      <w:r>
        <w:rPr>
          <w:kern w:val="0"/>
          <w14:ligatures w14:val="none"/>
        </w:rPr>
        <w:t xml:space="preserve">Su criterio di “tassazione” invece la giurisprudenza nel corso degli anni </w:t>
      </w:r>
      <w:r w:rsidR="00011D63">
        <w:rPr>
          <w:kern w:val="0"/>
          <w14:ligatures w14:val="none"/>
        </w:rPr>
        <w:t xml:space="preserve">aveva </w:t>
      </w:r>
      <w:r>
        <w:rPr>
          <w:kern w:val="0"/>
          <w14:ligatures w14:val="none"/>
        </w:rPr>
        <w:t xml:space="preserve">assunto un orientamento </w:t>
      </w:r>
      <w:r w:rsidR="00A466C6">
        <w:rPr>
          <w:kern w:val="0"/>
          <w14:ligatures w14:val="none"/>
        </w:rPr>
        <w:t>diverso rispetto a quanto contenuto nella proposta</w:t>
      </w:r>
      <w:r>
        <w:rPr>
          <w:kern w:val="0"/>
          <w14:ligatures w14:val="none"/>
        </w:rPr>
        <w:t xml:space="preserve">. Troviamo </w:t>
      </w:r>
      <w:r w:rsidR="00011D63">
        <w:rPr>
          <w:kern w:val="0"/>
          <w14:ligatures w14:val="none"/>
        </w:rPr>
        <w:t xml:space="preserve">in particolare le </w:t>
      </w:r>
      <w:r>
        <w:rPr>
          <w:kern w:val="0"/>
          <w14:ligatures w14:val="none"/>
        </w:rPr>
        <w:t xml:space="preserve">sentenze di Corte di Cassazione </w:t>
      </w:r>
      <w:r w:rsidRPr="00A91243">
        <w:rPr>
          <w:kern w:val="0"/>
          <w14:ligatures w14:val="none"/>
        </w:rPr>
        <w:t>n° 252/2012 e n° 10459/2018</w:t>
      </w:r>
      <w:r>
        <w:rPr>
          <w:kern w:val="0"/>
          <w14:ligatures w14:val="none"/>
        </w:rPr>
        <w:t>,</w:t>
      </w:r>
      <w:r w:rsidRPr="00A91243">
        <w:rPr>
          <w:kern w:val="0"/>
          <w14:ligatures w14:val="none"/>
        </w:rPr>
        <w:t xml:space="preserve"> relative all'ICP, in cui è </w:t>
      </w:r>
      <w:r>
        <w:rPr>
          <w:kern w:val="0"/>
          <w14:ligatures w14:val="none"/>
        </w:rPr>
        <w:t xml:space="preserve">stabilito, </w:t>
      </w:r>
      <w:r w:rsidRPr="00A91243">
        <w:rPr>
          <w:kern w:val="0"/>
          <w14:ligatures w14:val="none"/>
        </w:rPr>
        <w:t>che la divulgazione tramite un unico mezzo pubblicitario di plurimi messaggi relativi ad aziende diverse, non consente di liquidare l'imposta in base alla complessiva superficie della figura geometrica rappresentata dal pannello dovendosi invece essere liquidate tante imposte per quanti sono i messaggi pubblicitari, arrotondando la superficie di ciascuna freccia.</w:t>
      </w:r>
      <w:r>
        <w:rPr>
          <w:kern w:val="0"/>
          <w14:ligatures w14:val="none"/>
        </w:rPr>
        <w:t xml:space="preserve"> </w:t>
      </w:r>
    </w:p>
    <w:p w14:paraId="7ACAC9FB" w14:textId="79CFC7CF" w:rsidR="00472A22" w:rsidRDefault="00A91243" w:rsidP="00105CA7">
      <w:pPr>
        <w:jc w:val="both"/>
        <w:rPr>
          <w:kern w:val="0"/>
          <w14:ligatures w14:val="none"/>
        </w:rPr>
      </w:pPr>
      <w:r>
        <w:rPr>
          <w:kern w:val="0"/>
          <w14:ligatures w14:val="none"/>
        </w:rPr>
        <w:t xml:space="preserve">In particolare la sentenza 10459/2018 </w:t>
      </w:r>
      <w:r w:rsidRPr="00A91243">
        <w:rPr>
          <w:kern w:val="0"/>
          <w14:ligatures w14:val="none"/>
        </w:rPr>
        <w:t>ha affermato il principio secondo il quale nell’ipotesi di plurimi messaggi pubblicitari  di aziende diverse  collocati su un unico pannello, il tributo deve essere determinato in base alla superficie espositiva utilizzata da ciascuna delle imprese reclamizzate, indipendentemente dalle dimensioni del mezzo pubblicitario cumulativo.</w:t>
      </w:r>
      <w:r>
        <w:rPr>
          <w:kern w:val="0"/>
          <w14:ligatures w14:val="none"/>
        </w:rPr>
        <w:t xml:space="preserve"> </w:t>
      </w:r>
    </w:p>
    <w:p w14:paraId="18662BC6" w14:textId="4D02D460" w:rsidR="00011D63" w:rsidRPr="00011D63" w:rsidRDefault="00011D63" w:rsidP="00011D63">
      <w:pPr>
        <w:jc w:val="both"/>
        <w:rPr>
          <w:kern w:val="0"/>
          <w14:ligatures w14:val="none"/>
        </w:rPr>
      </w:pPr>
      <w:r w:rsidRPr="00011D63">
        <w:rPr>
          <w:kern w:val="0"/>
          <w14:ligatures w14:val="none"/>
        </w:rPr>
        <w:t>Sulla scorta di questa sentenza si rit</w:t>
      </w:r>
      <w:r>
        <w:rPr>
          <w:kern w:val="0"/>
          <w14:ligatures w14:val="none"/>
        </w:rPr>
        <w:t>eneva</w:t>
      </w:r>
      <w:r w:rsidRPr="00011D63">
        <w:rPr>
          <w:kern w:val="0"/>
          <w14:ligatures w14:val="none"/>
        </w:rPr>
        <w:t xml:space="preserve"> definitivamente superata l’indicazione contenuta nella Risoluzione Ministeriale 21 Marzo 1994, n° 7/819  nella quale si chiariva che se le preinsegne risultano inserite, per effetto dell’atto autorizzatorio che ne consente l’esposizione, in una struttura fornita di cornice perimetrale in rilievo, ai fini del calcolo dell’imposta si deve tener conto della sola superficie del pannello.</w:t>
      </w:r>
    </w:p>
    <w:p w14:paraId="70F31209" w14:textId="2AD526C3" w:rsidR="00011D63" w:rsidRPr="00011D63" w:rsidRDefault="00011D63" w:rsidP="00011D63">
      <w:pPr>
        <w:jc w:val="both"/>
        <w:rPr>
          <w:i/>
          <w:iCs/>
          <w:kern w:val="0"/>
          <w14:ligatures w14:val="none"/>
        </w:rPr>
      </w:pPr>
      <w:r w:rsidRPr="00011D63">
        <w:rPr>
          <w:kern w:val="0"/>
          <w14:ligatures w14:val="none"/>
        </w:rPr>
        <w:t xml:space="preserve">Anche la nota del Mef 19899/2014 emessa successivamente alla sentenza della Cassazione n.  252/2012 </w:t>
      </w:r>
      <w:r w:rsidR="00A466C6">
        <w:rPr>
          <w:kern w:val="0"/>
          <w14:ligatures w14:val="none"/>
        </w:rPr>
        <w:t>doveva</w:t>
      </w:r>
      <w:r w:rsidRPr="00011D63">
        <w:rPr>
          <w:kern w:val="0"/>
          <w14:ligatures w14:val="none"/>
        </w:rPr>
        <w:t xml:space="preserve"> ritenersi superata dalla lettura della sentenza 10459/2018 che in modo preciso e inequivocabile </w:t>
      </w:r>
      <w:r w:rsidRPr="00011D63">
        <w:rPr>
          <w:i/>
          <w:iCs/>
          <w:kern w:val="0"/>
          <w14:ligatures w14:val="none"/>
        </w:rPr>
        <w:t>ribadisce “… l’interpretazione sistematica della citata norma di cui all’art. 7 comma 1 e 2 del d.lgs n. 507/1993, in relazione all’art. 6, comma 2 del citato decreto, che estende al soggetto nel cui interesse è diffuso il messaggio pubblicitario la solidarietà per l’obbligazione tributaria posta a carico del titolare o comunque di colui che ha la disponibilità del “mezzo pubblicitrario”; previsione quest’ultima che, come espresso dalla succitata sentenza, non può che trovare esclusiva giustificazione razionale nell’indissolubile legame tra “mezzo” e “messaggio” pubblicitario individuato come fondamento del presupposto d’imposta”</w:t>
      </w:r>
    </w:p>
    <w:p w14:paraId="1D2ADEB2" w14:textId="77777777" w:rsidR="00011D63" w:rsidRPr="00011D63" w:rsidRDefault="00011D63" w:rsidP="00011D63">
      <w:pPr>
        <w:jc w:val="both"/>
        <w:rPr>
          <w:kern w:val="0"/>
          <w14:ligatures w14:val="none"/>
        </w:rPr>
      </w:pPr>
      <w:r w:rsidRPr="00011D63">
        <w:rPr>
          <w:kern w:val="0"/>
          <w14:ligatures w14:val="none"/>
        </w:rPr>
        <w:t xml:space="preserve">La nota del  Mef del 7 luglio 2014  prot. n.19899, aveva provato a sostenere che  la sentenza della Corte di cassazione 252/2012  non atteneva in realtà  alla determinazione e liquidazione dell'imposta, ma solo al caso diverso in cui si manifesti un inadempimento, con conseguente necessità di procedere con distinte quantificazioni a seconda dei soggetti solidalmente responsabili. </w:t>
      </w:r>
    </w:p>
    <w:p w14:paraId="055C5760" w14:textId="1BAEA5EC" w:rsidR="00011D63" w:rsidRDefault="00011D63" w:rsidP="00011D63">
      <w:pPr>
        <w:jc w:val="both"/>
        <w:rPr>
          <w:kern w:val="0"/>
          <w14:ligatures w14:val="none"/>
        </w:rPr>
      </w:pPr>
      <w:r w:rsidRPr="00011D63">
        <w:rPr>
          <w:kern w:val="0"/>
          <w14:ligatures w14:val="none"/>
        </w:rPr>
        <w:t xml:space="preserve">Questa interpretazione </w:t>
      </w:r>
      <w:r>
        <w:rPr>
          <w:kern w:val="0"/>
          <w14:ligatures w14:val="none"/>
        </w:rPr>
        <w:t>era stata</w:t>
      </w:r>
      <w:r w:rsidRPr="00011D63">
        <w:rPr>
          <w:kern w:val="0"/>
          <w14:ligatures w14:val="none"/>
        </w:rPr>
        <w:t xml:space="preserve"> evidentemente superata come detto dalla sentenza 10459/2018</w:t>
      </w:r>
      <w:r>
        <w:rPr>
          <w:kern w:val="0"/>
          <w14:ligatures w14:val="none"/>
        </w:rPr>
        <w:t xml:space="preserve"> </w:t>
      </w:r>
      <w:r w:rsidR="00A466C6">
        <w:rPr>
          <w:kern w:val="0"/>
          <w14:ligatures w14:val="none"/>
        </w:rPr>
        <w:t>che</w:t>
      </w:r>
      <w:r>
        <w:rPr>
          <w:kern w:val="0"/>
          <w14:ligatures w14:val="none"/>
        </w:rPr>
        <w:t xml:space="preserve"> oggi a sua volta verrebbe travolta dalla modifica di Legge proposta</w:t>
      </w:r>
      <w:r w:rsidR="00F51FA0">
        <w:rPr>
          <w:kern w:val="0"/>
          <w14:ligatures w14:val="none"/>
        </w:rPr>
        <w:t>, che parte dall’individuare il soggetto passivo per definire di conseguenza il criterio di misurazione a applicazione del canone.</w:t>
      </w:r>
    </w:p>
    <w:p w14:paraId="47E52919" w14:textId="77777777" w:rsidR="00F51FA0" w:rsidRDefault="00F51FA0" w:rsidP="00011D63">
      <w:pPr>
        <w:jc w:val="both"/>
        <w:rPr>
          <w:kern w:val="0"/>
          <w14:ligatures w14:val="none"/>
        </w:rPr>
      </w:pPr>
      <w:r>
        <w:rPr>
          <w:kern w:val="0"/>
          <w14:ligatures w14:val="none"/>
        </w:rPr>
        <w:lastRenderedPageBreak/>
        <w:t>Ecco spiegata la scelta di inserire questa disposizione nel comma 823 dedicato al soggetto passivo, piuttosto che nel successivo  comma 825 dedicato ai criteri di definizione del canone per la componente pubblicitaria.</w:t>
      </w:r>
    </w:p>
    <w:p w14:paraId="65FE97E8" w14:textId="4944A8FF" w:rsidR="00F51FA0" w:rsidRDefault="00F51FA0" w:rsidP="00011D63">
      <w:pPr>
        <w:jc w:val="both"/>
        <w:rPr>
          <w:kern w:val="0"/>
          <w14:ligatures w14:val="none"/>
        </w:rPr>
      </w:pPr>
      <w:r>
        <w:rPr>
          <w:kern w:val="0"/>
          <w14:ligatures w14:val="none"/>
        </w:rPr>
        <w:t>Sulla base della proposta di legge, diventa infatti dirimente la presenza di uno oppure più concessionari dell’impianto per procedere al calcolo delle relative superfici imponibili. Criterio che, come detto, va in diversa direzione rispetto all’orientamento recente assunto dalla Corte di cassazione.</w:t>
      </w:r>
    </w:p>
    <w:p w14:paraId="31F8E9B3" w14:textId="0A314EAD" w:rsidR="00085BCB" w:rsidRDefault="00085BCB" w:rsidP="00011D63">
      <w:pPr>
        <w:jc w:val="both"/>
        <w:rPr>
          <w:kern w:val="0"/>
          <w14:ligatures w14:val="none"/>
        </w:rPr>
      </w:pPr>
      <w:r>
        <w:rPr>
          <w:kern w:val="0"/>
          <w14:ligatures w14:val="none"/>
        </w:rPr>
        <w:t xml:space="preserve">Delle proposte </w:t>
      </w:r>
      <w:r w:rsidR="007E54B5">
        <w:rPr>
          <w:kern w:val="0"/>
          <w14:ligatures w14:val="none"/>
        </w:rPr>
        <w:t xml:space="preserve">di modifica della disciplina CUP, </w:t>
      </w:r>
      <w:r>
        <w:rPr>
          <w:kern w:val="0"/>
          <w14:ligatures w14:val="none"/>
        </w:rPr>
        <w:t xml:space="preserve">finora analizzate questa sembra quella meno necessaria e </w:t>
      </w:r>
      <w:r w:rsidR="007E54B5">
        <w:rPr>
          <w:kern w:val="0"/>
          <w14:ligatures w14:val="none"/>
        </w:rPr>
        <w:t xml:space="preserve">la </w:t>
      </w:r>
      <w:r>
        <w:rPr>
          <w:kern w:val="0"/>
          <w14:ligatures w14:val="none"/>
        </w:rPr>
        <w:t>meno aderente a</w:t>
      </w:r>
      <w:r w:rsidR="007E54B5">
        <w:rPr>
          <w:kern w:val="0"/>
          <w14:ligatures w14:val="none"/>
        </w:rPr>
        <w:t xml:space="preserve">gli orientamenti fin qui assunti dagli uffici. Comprensibile la scelta di ancorare il criterio ai soggetti in possesso del titolo amministrativo in aderenza all’impostazione generale dell’entrata, tuttavia il presupposto viene realizzato sui singoli messaggi, in modo autonomo e la stessa commercializzazione da parte delle società pubblicitarie non segue la logica dell’intero impianto ma del singolo messaggio, così che sarebbe naturale abbinare a ciascun segnale una autonoma imposizione e </w:t>
      </w:r>
      <w:r w:rsidR="002C0183">
        <w:rPr>
          <w:kern w:val="0"/>
          <w14:ligatures w14:val="none"/>
        </w:rPr>
        <w:t xml:space="preserve">conseguente </w:t>
      </w:r>
      <w:r w:rsidR="007E54B5">
        <w:rPr>
          <w:kern w:val="0"/>
          <w14:ligatures w14:val="none"/>
        </w:rPr>
        <w:t>criterio di misurazione e arrotondamento.</w:t>
      </w:r>
    </w:p>
    <w:p w14:paraId="268B3A78" w14:textId="77777777" w:rsidR="00011D63" w:rsidRDefault="00011D63" w:rsidP="00011D63">
      <w:pPr>
        <w:jc w:val="both"/>
        <w:rPr>
          <w:kern w:val="0"/>
          <w14:ligatures w14:val="none"/>
        </w:rPr>
      </w:pPr>
    </w:p>
    <w:p w14:paraId="09764E37" w14:textId="77777777" w:rsidR="00A91243" w:rsidRDefault="00A91243" w:rsidP="00105CA7">
      <w:pPr>
        <w:jc w:val="both"/>
        <w:rPr>
          <w:kern w:val="0"/>
          <w14:ligatures w14:val="none"/>
        </w:rPr>
      </w:pPr>
    </w:p>
    <w:p w14:paraId="1D935390" w14:textId="77777777" w:rsidR="001817D0" w:rsidRDefault="001817D0" w:rsidP="00105CA7">
      <w:pPr>
        <w:jc w:val="both"/>
        <w:rPr>
          <w:kern w:val="0"/>
          <w14:ligatures w14:val="none"/>
        </w:rPr>
      </w:pPr>
    </w:p>
    <w:p w14:paraId="5A05D7E7" w14:textId="77777777" w:rsidR="001817D0" w:rsidRPr="00A442D2" w:rsidRDefault="001817D0" w:rsidP="00105CA7">
      <w:pPr>
        <w:jc w:val="both"/>
      </w:pPr>
    </w:p>
    <w:p w14:paraId="23B7877F" w14:textId="77777777" w:rsidR="00625A06" w:rsidRDefault="00625A06" w:rsidP="00E83029">
      <w:pPr>
        <w:jc w:val="both"/>
      </w:pPr>
    </w:p>
    <w:sectPr w:rsidR="00625A0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96B5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218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11D63"/>
    <w:rsid w:val="00060149"/>
    <w:rsid w:val="00063280"/>
    <w:rsid w:val="00085BCB"/>
    <w:rsid w:val="000B110F"/>
    <w:rsid w:val="00105CA7"/>
    <w:rsid w:val="0013116B"/>
    <w:rsid w:val="00146429"/>
    <w:rsid w:val="001817D0"/>
    <w:rsid w:val="00205B39"/>
    <w:rsid w:val="002C0183"/>
    <w:rsid w:val="00332356"/>
    <w:rsid w:val="00366250"/>
    <w:rsid w:val="003C44EE"/>
    <w:rsid w:val="00472A22"/>
    <w:rsid w:val="00476DED"/>
    <w:rsid w:val="004A753D"/>
    <w:rsid w:val="004C35CE"/>
    <w:rsid w:val="00547938"/>
    <w:rsid w:val="00560A95"/>
    <w:rsid w:val="005C5942"/>
    <w:rsid w:val="005F7C52"/>
    <w:rsid w:val="00621C14"/>
    <w:rsid w:val="00625A06"/>
    <w:rsid w:val="006C0C6E"/>
    <w:rsid w:val="006C329E"/>
    <w:rsid w:val="00703996"/>
    <w:rsid w:val="007B1D34"/>
    <w:rsid w:val="007E54B5"/>
    <w:rsid w:val="00816F43"/>
    <w:rsid w:val="00865BCF"/>
    <w:rsid w:val="00886058"/>
    <w:rsid w:val="008D25DD"/>
    <w:rsid w:val="008F2D22"/>
    <w:rsid w:val="00934E5B"/>
    <w:rsid w:val="009A1C50"/>
    <w:rsid w:val="00A442D2"/>
    <w:rsid w:val="00A466C6"/>
    <w:rsid w:val="00A62B01"/>
    <w:rsid w:val="00A91243"/>
    <w:rsid w:val="00B76F16"/>
    <w:rsid w:val="00C3345A"/>
    <w:rsid w:val="00C4143F"/>
    <w:rsid w:val="00C6207D"/>
    <w:rsid w:val="00C86235"/>
    <w:rsid w:val="00D80C8B"/>
    <w:rsid w:val="00DC634A"/>
    <w:rsid w:val="00E21F8C"/>
    <w:rsid w:val="00E70E43"/>
    <w:rsid w:val="00E74A45"/>
    <w:rsid w:val="00E83029"/>
    <w:rsid w:val="00F237B7"/>
    <w:rsid w:val="00F51FA0"/>
    <w:rsid w:val="00FC18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4A5"/>
  <w15:chartTrackingRefBased/>
  <w15:docId w15:val="{F44C774C-F2C5-4272-9DED-0331FA61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E83029"/>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67146">
      <w:bodyDiv w:val="1"/>
      <w:marLeft w:val="0"/>
      <w:marRight w:val="0"/>
      <w:marTop w:val="0"/>
      <w:marBottom w:val="0"/>
      <w:divBdr>
        <w:top w:val="none" w:sz="0" w:space="0" w:color="auto"/>
        <w:left w:val="none" w:sz="0" w:space="0" w:color="auto"/>
        <w:bottom w:val="none" w:sz="0" w:space="0" w:color="auto"/>
        <w:right w:val="none" w:sz="0" w:space="0" w:color="auto"/>
      </w:divBdr>
    </w:div>
    <w:div w:id="572666635">
      <w:bodyDiv w:val="1"/>
      <w:marLeft w:val="0"/>
      <w:marRight w:val="0"/>
      <w:marTop w:val="0"/>
      <w:marBottom w:val="0"/>
      <w:divBdr>
        <w:top w:val="none" w:sz="0" w:space="0" w:color="auto"/>
        <w:left w:val="none" w:sz="0" w:space="0" w:color="auto"/>
        <w:bottom w:val="none" w:sz="0" w:space="0" w:color="auto"/>
        <w:right w:val="none" w:sz="0" w:space="0" w:color="auto"/>
      </w:divBdr>
      <w:divsChild>
        <w:div w:id="887187487">
          <w:marLeft w:val="259"/>
          <w:marRight w:val="0"/>
          <w:marTop w:val="98"/>
          <w:marBottom w:val="0"/>
          <w:divBdr>
            <w:top w:val="none" w:sz="0" w:space="0" w:color="auto"/>
            <w:left w:val="none" w:sz="0" w:space="0" w:color="auto"/>
            <w:bottom w:val="none" w:sz="0" w:space="0" w:color="auto"/>
            <w:right w:val="none" w:sz="0" w:space="0" w:color="auto"/>
          </w:divBdr>
        </w:div>
      </w:divsChild>
    </w:div>
    <w:div w:id="188659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3</Pages>
  <Words>1427</Words>
  <Characters>8134</Characters>
  <Application>Microsoft Office Word</Application>
  <DocSecurity>0</DocSecurity>
  <Lines>67</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34</cp:revision>
  <dcterms:created xsi:type="dcterms:W3CDTF">2023-10-02T10:02:00Z</dcterms:created>
  <dcterms:modified xsi:type="dcterms:W3CDTF">2023-10-05T17:24:00Z</dcterms:modified>
</cp:coreProperties>
</file>