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58FA1425" w:rsidR="006C0C6E" w:rsidRDefault="006C0C6E" w:rsidP="00A62B01">
      <w:pPr>
        <w:rPr>
          <w:b/>
          <w:bCs/>
        </w:rPr>
      </w:pPr>
      <w:r>
        <w:rPr>
          <w:b/>
          <w:bCs/>
        </w:rPr>
        <w:t xml:space="preserve">Titolo: </w:t>
      </w:r>
      <w:r w:rsidR="00934E5B">
        <w:rPr>
          <w:b/>
          <w:bCs/>
        </w:rPr>
        <w:t xml:space="preserve">LE MODIFICHE ALLA DISCIPLINA CUP NELLA BOZZA DI DECRETO DELEGA </w:t>
      </w:r>
      <w:r w:rsidR="00A62B01" w:rsidRPr="004A753D">
        <w:rPr>
          <w:b/>
          <w:bCs/>
        </w:rPr>
        <w:t xml:space="preserve"> </w:t>
      </w:r>
    </w:p>
    <w:p w14:paraId="3D2EEA74" w14:textId="05514E43" w:rsidR="00A62B01" w:rsidRPr="004A753D" w:rsidRDefault="004A753D" w:rsidP="00A62B01">
      <w:pPr>
        <w:rPr>
          <w:b/>
          <w:bCs/>
        </w:rPr>
      </w:pPr>
      <w:r w:rsidRPr="004A753D">
        <w:rPr>
          <w:b/>
          <w:bCs/>
        </w:rPr>
        <w:t xml:space="preserve">PARTE </w:t>
      </w:r>
      <w:r w:rsidR="00B93754">
        <w:rPr>
          <w:b/>
          <w:bCs/>
        </w:rPr>
        <w:t>SESTA</w:t>
      </w:r>
      <w:r w:rsidR="006C0C6E">
        <w:rPr>
          <w:b/>
          <w:bCs/>
        </w:rPr>
        <w:t>: LA MODIFICA DEL COMMA 8</w:t>
      </w:r>
      <w:r w:rsidR="005F7C52">
        <w:rPr>
          <w:b/>
          <w:bCs/>
        </w:rPr>
        <w:t>2</w:t>
      </w:r>
      <w:r w:rsidR="00B93754">
        <w:rPr>
          <w:b/>
          <w:bCs/>
        </w:rPr>
        <w:t>5</w:t>
      </w:r>
      <w:r w:rsidR="00934E5B">
        <w:rPr>
          <w:b/>
          <w:bCs/>
        </w:rPr>
        <w:t xml:space="preserve"> </w:t>
      </w:r>
    </w:p>
    <w:p w14:paraId="1298A494" w14:textId="6CFDABED" w:rsidR="00A62B01" w:rsidRDefault="0013116B" w:rsidP="0013116B">
      <w:pPr>
        <w:jc w:val="both"/>
      </w:pPr>
      <w:r>
        <w:t xml:space="preserve">Proseguiamo nell’analisi dell’articolo 26 presente nella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73950F8B" w14:textId="39D12DC4" w:rsidR="00A22251" w:rsidRDefault="0013116B" w:rsidP="00A22251">
      <w:pPr>
        <w:spacing w:before="240" w:after="240"/>
        <w:jc w:val="both"/>
      </w:pPr>
      <w:r>
        <w:t xml:space="preserve">In questo approfondimento andiamo a valutare le modifiche che verrebbero apportate </w:t>
      </w:r>
      <w:r w:rsidR="005F7C52">
        <w:t xml:space="preserve">al </w:t>
      </w:r>
      <w:r>
        <w:t>comma 8</w:t>
      </w:r>
      <w:r w:rsidR="005F7C52">
        <w:t>2</w:t>
      </w:r>
      <w:r w:rsidR="00B93754">
        <w:t>5</w:t>
      </w:r>
      <w:r>
        <w:t xml:space="preserve"> </w:t>
      </w:r>
      <w:r w:rsidR="00A22251">
        <w:t>dedicato ai criteri di calcolo del Canone</w:t>
      </w:r>
      <w:r w:rsidR="002A5562">
        <w:t xml:space="preserve"> Unico</w:t>
      </w:r>
      <w:r w:rsidR="00A22251">
        <w:t xml:space="preserve"> in riferimento al presupposto di cui al comma 819 lettera B, ovvero quelli dedicati alle diffusioni pubblicitarie. </w:t>
      </w:r>
    </w:p>
    <w:p w14:paraId="61DE6684" w14:textId="1946D4A4" w:rsidR="00A22251" w:rsidRDefault="00A22251" w:rsidP="00A22251">
      <w:pPr>
        <w:spacing w:before="240" w:after="240"/>
        <w:jc w:val="both"/>
      </w:pPr>
      <w:r>
        <w:t xml:space="preserve">Comma che quindi dovrebbe dettare le regole fondamentali necessarie per definire le tariffe e i criteri di calcolo per la giusta liquidazione del dovuto. Il testo di Legge </w:t>
      </w:r>
      <w:r w:rsidR="00B52660">
        <w:t xml:space="preserve">attuale </w:t>
      </w:r>
      <w:r>
        <w:t>prevede: “</w:t>
      </w:r>
      <w:r>
        <w:rPr>
          <w:i/>
        </w:rPr>
        <w:t>Per la diffusione di messaggi pubblicitari di cui al comma 819, lettera b), il canone è determinato in base alla superficie complessiva del mezzo pubblicitario, calcolata in metri quadrati, indipendentemente dal tipo e dal numero dei messaggi. Per la pubblicità effettuata all’esterno di veicoli adibiti a uso pubblico o a uso privato, il canone è dovuto rispettivamente al comune che ha rilasciato la licenza di esercizio e al comune in cui il proprietario del veicolo ha la residenza o la sede. In ogni caso è obbligato in solido al pagamento il soggetto che utilizza il mezzo per diffondere il messaggio. Non sono soggette al canone le superfici inferiori a trecento centimetri quadrati.”</w:t>
      </w:r>
    </w:p>
    <w:p w14:paraId="2C0FBA0F" w14:textId="527A44C5" w:rsidR="00A22251" w:rsidRDefault="00A22251" w:rsidP="00A22251">
      <w:pPr>
        <w:spacing w:before="240" w:after="240"/>
        <w:jc w:val="both"/>
      </w:pPr>
      <w:r>
        <w:t xml:space="preserve">Nella prima parte del testo vengono definiti i parametri che andranno ad incidere sul calcolo del canone, basando il calcolo sulla superficie e non stabilendo, così come per le occupazioni, un criterio per arrotondare le superfici che saranno espresse in metri quadrati. Nella seconda </w:t>
      </w:r>
      <w:r w:rsidR="00B52660">
        <w:t>parte invece</w:t>
      </w:r>
      <w:r>
        <w:t xml:space="preserve"> si fissano i criteri e la soggettività attiva della pubblicità sui veicoli, per il trasporto pubblico (bus, taxi, ecc…) e per quello privato, per conto proprio e per conto terzi. Infine si richiamano due principi mutuati dall’ICP, la figura dell’obbligato al pagamento e il limite dimensionale al di sotto del quale la pubblicità non viene attratta nel presupposto.</w:t>
      </w:r>
    </w:p>
    <w:p w14:paraId="72619EB3" w14:textId="77777777" w:rsidR="00A22251" w:rsidRDefault="00A22251" w:rsidP="00A22251">
      <w:pPr>
        <w:spacing w:before="240" w:after="240"/>
        <w:jc w:val="both"/>
      </w:pPr>
      <w:r>
        <w:t xml:space="preserve">Con i precedenti prelievi, i criteri di misurazione erano stati disciplinati nel Decreto Legislativo 507 del 1993, che specificava nel dettaglio i diversi calcoli da eseguire per arrotondare le superfici a seconda dell’entrata e della dimensione dell’oggetto tassato. In particolare, per quanto riguarda il presupposto pubblicitario a cui è dedicato questo approfondimento, l’articolo 7 del decreto prevedeva: </w:t>
      </w:r>
      <w:r w:rsidRPr="00B52660">
        <w:rPr>
          <w:i/>
          <w:iCs/>
        </w:rPr>
        <w:t>“L'imposta sulla pubblicità si determina in base alla superficie della minima figura piana geometrica in cui è circoscritto il mezzo pubblicitario</w:t>
      </w:r>
      <w:r>
        <w:t xml:space="preserve">” e </w:t>
      </w:r>
      <w:r w:rsidRPr="00B52660">
        <w:rPr>
          <w:i/>
          <w:iCs/>
        </w:rPr>
        <w:t>“…Le superfici inferiore ad un metro quadrato si arrotondano per eccesso al metro quadrato e le frazioni di esso, oltre il primo, a mezzo metro quadrato</w:t>
      </w:r>
      <w:r>
        <w:t>” e ancora “</w:t>
      </w:r>
      <w:r w:rsidRPr="00B52660">
        <w:rPr>
          <w:i/>
          <w:iCs/>
        </w:rPr>
        <w:t>i festoni di bandierine e simili nonché' i mezzi di identico contenuto, ovvero riferibili al medesimo soggetto passivo, collocati in connessione tra loro si considerano, agli effetti del calcolo della superficie imponibile, come un unico mezzo pubblicitario</w:t>
      </w:r>
      <w:r>
        <w:t>.”</w:t>
      </w:r>
    </w:p>
    <w:p w14:paraId="26121D49" w14:textId="77777777" w:rsidR="00A22251" w:rsidRDefault="00A22251" w:rsidP="00A22251">
      <w:pPr>
        <w:spacing w:before="240" w:after="240"/>
        <w:jc w:val="both"/>
      </w:pPr>
      <w:r>
        <w:t>Questa base di calcolo, con l’introduzione del Canone Unico, è venuta meno, così che i diversi Enti locali chiamati ad istituire l’entrata, hanno dovuto adottare, all’interno dei propri regolamenti, i criteri ritenuti più consoni per determinare le metrature alle quali applicare le tariffe deliberate per le diverse fattispecie.</w:t>
      </w:r>
    </w:p>
    <w:p w14:paraId="1FFA2E7F" w14:textId="77777777" w:rsidR="00A22251" w:rsidRDefault="00A22251" w:rsidP="00A22251">
      <w:pPr>
        <w:spacing w:before="240" w:after="240"/>
        <w:jc w:val="both"/>
      </w:pPr>
      <w:r>
        <w:t>Nella maggior parte dei casi i Comuni hanno copiato esattamente i criteri già usati in materia di Imposta sulla Pubblicità sopra richiamati, mentre alcune amministrazioni locali si sono spinte in iniziative personalizzate, forti della potestà regolamentare riconosciuta loro in materia di proprie entrate dall’articolo 52 del D.Lgs 446/97.</w:t>
      </w:r>
    </w:p>
    <w:p w14:paraId="5BD681B8" w14:textId="77777777" w:rsidR="00A22251" w:rsidRDefault="00A22251" w:rsidP="00A22251">
      <w:pPr>
        <w:spacing w:before="240" w:after="240"/>
        <w:jc w:val="both"/>
      </w:pPr>
      <w:r>
        <w:t>Stessa sorte per la zonizzazione del territorio, prevista per le occupazioni di suolo pubblico al comma 824 ma non per le esposizioni pubblicitarie, che invece, con il precedente prelievo vedevano una differenziazione a seconda della strada. Era infatti istituita la cosiddetta categoria speciale, prevedendo una maggiorazione percentuale da applicare tutte le volte che un mezzo pubblicitario era collocato in determinate vie di maggior pregio e di maggior visibilità.</w:t>
      </w:r>
    </w:p>
    <w:p w14:paraId="4F3B69E7" w14:textId="77777777" w:rsidR="00A22251" w:rsidRDefault="00A22251" w:rsidP="00A22251">
      <w:pPr>
        <w:spacing w:before="240" w:after="240"/>
        <w:jc w:val="both"/>
      </w:pPr>
      <w:r>
        <w:lastRenderedPageBreak/>
        <w:t>La maggior parte dei Comuni hanno risolto questa mancanza del Legislatore prevedendo la zonizzazione anche per le diffusioni pubblicitarie. L’hanno fatto in due modi, o mantenendo lo stesso sistema della maggiorazione già previsto per la categoria speciale, oppure seguendo lo stesso criterio di suddivisione adottato per le occupazioni di suolo pubblico. In ogni caso, chi prima applicava la categoria speciale, difficilmente vi ha rinunciato con la nuova entrata, nell’ottica di garantire la previsione del comma 817 con il vincolo dell’invarianza di gettito.</w:t>
      </w:r>
    </w:p>
    <w:p w14:paraId="355A98A3" w14:textId="77777777" w:rsidR="00A22251" w:rsidRDefault="00A22251" w:rsidP="00A22251">
      <w:pPr>
        <w:spacing w:before="240" w:after="240"/>
        <w:jc w:val="both"/>
      </w:pPr>
      <w:r>
        <w:t>È evidente quindi come questa carenza di disciplina a livello legislativo, abbia creato un panorama di situazioni variegate, diverse da comune a comune, creando evidenti problemi a tutti quei soggetti chiamati a operare in diversi ambiti territoriali. Una giungla di regolamenti che cambiano ad ogni confine locale, aggiungendo solo confusione ad un settore che sta vivendo, oggi più che mai, una situazione di caos. Troppe infatti sono ancora le incertezze applicative che stiamo subendo a causa di una disciplina incompleta, nata dalla scelta di unire entrate oggettivamente diverse tra loro.</w:t>
      </w:r>
    </w:p>
    <w:p w14:paraId="5136F6C9" w14:textId="77777777" w:rsidR="00B52660" w:rsidRDefault="00B52660" w:rsidP="00B52660">
      <w:pPr>
        <w:spacing w:before="240" w:after="240"/>
        <w:jc w:val="both"/>
      </w:pPr>
      <w:r>
        <w:t>Carente si dimostra anche la seconda parte, quella dedicata alla pubblicità realizzata sui veicoli. Rispetto alla normativa che regolava il precedente prelievo, nel Canone Unico è venuta a mancare la distinzione di applicazione tra ipotesi di pubblicità effettuata per conto terzi rispetto a quella effettuata su mezzi di proprietà dell’azienda, ipotesi per la quale veniva in precedenza fissata una tariffa forfetaria basata sulla portata del veicolo, indipendente dal numero e dalla misura delle inserzioni pubblicitarie. Oggi, questa ipotesi non è stata regolata così che ancora una volta i Comuni hanno dovuto autodisciplinarsi.</w:t>
      </w:r>
    </w:p>
    <w:p w14:paraId="3523087C" w14:textId="286F97C2" w:rsidR="0013116B" w:rsidRDefault="00B52660" w:rsidP="00A22251">
      <w:pPr>
        <w:spacing w:before="240" w:after="240"/>
        <w:jc w:val="both"/>
        <w:rPr>
          <w:i/>
          <w:iCs/>
          <w:kern w:val="0"/>
          <w14:ligatures w14:val="none"/>
        </w:rPr>
      </w:pPr>
      <w:r>
        <w:rPr>
          <w:kern w:val="0"/>
          <w14:ligatures w14:val="none"/>
        </w:rPr>
        <w:t xml:space="preserve">In questo contesto, con un comma 825 così scarno di regole, fa sorridere leggere l’unica proposta avanzata di modifica di questo comma così importante. Nel testo dell’articolo </w:t>
      </w:r>
      <w:r w:rsidR="005F7C52">
        <w:rPr>
          <w:kern w:val="0"/>
          <w14:ligatures w14:val="none"/>
        </w:rPr>
        <w:t xml:space="preserve">26, comma 1 lettera </w:t>
      </w:r>
      <w:r w:rsidR="00B93754">
        <w:rPr>
          <w:kern w:val="0"/>
          <w14:ligatures w14:val="none"/>
        </w:rPr>
        <w:t>F</w:t>
      </w:r>
      <w:r>
        <w:rPr>
          <w:kern w:val="0"/>
          <w14:ligatures w14:val="none"/>
        </w:rPr>
        <w:t xml:space="preserve"> si legge</w:t>
      </w:r>
      <w:r w:rsidR="005F7C52">
        <w:rPr>
          <w:kern w:val="0"/>
          <w14:ligatures w14:val="none"/>
        </w:rPr>
        <w:t>:</w:t>
      </w:r>
      <w:r w:rsidR="005F7C52" w:rsidRPr="00B93754">
        <w:rPr>
          <w:i/>
          <w:iCs/>
          <w:kern w:val="0"/>
          <w14:ligatures w14:val="none"/>
        </w:rPr>
        <w:t xml:space="preserve"> </w:t>
      </w:r>
      <w:r w:rsidR="00476DED" w:rsidRPr="00B93754">
        <w:rPr>
          <w:i/>
          <w:iCs/>
          <w:kern w:val="0"/>
          <w14:ligatures w14:val="none"/>
        </w:rPr>
        <w:t xml:space="preserve"> “</w:t>
      </w:r>
      <w:r w:rsidR="00B93754" w:rsidRPr="00B93754">
        <w:rPr>
          <w:i/>
          <w:iCs/>
          <w:kern w:val="0"/>
          <w14:ligatures w14:val="none"/>
        </w:rPr>
        <w:t>al comma 825 dopo le parole “mezzo pubblicitario,” sono inserite le seguenti:</w:t>
      </w:r>
      <w:r w:rsidR="00B93754" w:rsidRPr="00B93754">
        <w:rPr>
          <w:i/>
          <w:iCs/>
          <w:kern w:val="0"/>
          <w14:ligatures w14:val="none"/>
        </w:rPr>
        <w:t xml:space="preserve"> </w:t>
      </w:r>
      <w:r w:rsidR="00B93754" w:rsidRPr="00B93754">
        <w:rPr>
          <w:i/>
          <w:iCs/>
          <w:kern w:val="0"/>
          <w14:ligatures w14:val="none"/>
        </w:rPr>
        <w:t>“esclusa quella relativa agli elementi che non posseggono alcun effetto</w:t>
      </w:r>
      <w:r w:rsidR="00B93754" w:rsidRPr="00B93754">
        <w:rPr>
          <w:i/>
          <w:iCs/>
          <w:kern w:val="0"/>
          <w14:ligatures w14:val="none"/>
        </w:rPr>
        <w:t xml:space="preserve"> </w:t>
      </w:r>
      <w:r w:rsidR="00B93754" w:rsidRPr="00B93754">
        <w:rPr>
          <w:i/>
          <w:iCs/>
          <w:kern w:val="0"/>
          <w14:ligatures w14:val="none"/>
        </w:rPr>
        <w:t>pubblicitario”</w:t>
      </w:r>
    </w:p>
    <w:p w14:paraId="5A05D7E7" w14:textId="68790D23" w:rsidR="001817D0" w:rsidRDefault="00A442D2" w:rsidP="00B93754">
      <w:pPr>
        <w:jc w:val="both"/>
        <w:rPr>
          <w:kern w:val="0"/>
          <w14:ligatures w14:val="none"/>
        </w:rPr>
      </w:pPr>
      <w:r>
        <w:rPr>
          <w:kern w:val="0"/>
          <w14:ligatures w14:val="none"/>
        </w:rPr>
        <w:t>Con questa modifica si</w:t>
      </w:r>
      <w:r w:rsidR="001817D0">
        <w:rPr>
          <w:kern w:val="0"/>
          <w14:ligatures w14:val="none"/>
        </w:rPr>
        <w:t xml:space="preserve"> vuole definitivamente</w:t>
      </w:r>
      <w:r w:rsidR="00B52660">
        <w:rPr>
          <w:kern w:val="0"/>
          <w14:ligatures w14:val="none"/>
        </w:rPr>
        <w:t xml:space="preserve"> chiarire, anche se nessuno lo dubitava, che la superficie da prendere in considerazione è sola quella espositiva, utilizzabile ai fini pubblicitari, escludendo come logico che sia, la parte di impianto strutturale e funzionale, indentificata nella cornice e nei supporti per renderlo self standing, ovvero, per usare le parole della proposta di modifica, escludendo dal calcolo della superficie </w:t>
      </w:r>
      <w:r w:rsidR="001A07EA">
        <w:rPr>
          <w:kern w:val="0"/>
          <w14:ligatures w14:val="none"/>
        </w:rPr>
        <w:t>quegli</w:t>
      </w:r>
      <w:r w:rsidR="00B52660">
        <w:rPr>
          <w:kern w:val="0"/>
          <w14:ligatures w14:val="none"/>
        </w:rPr>
        <w:t xml:space="preserve"> elementi del mezzo che non hanno effetto pubblicitario</w:t>
      </w:r>
      <w:r w:rsidR="001A07EA">
        <w:rPr>
          <w:kern w:val="0"/>
          <w14:ligatures w14:val="none"/>
        </w:rPr>
        <w:t>.</w:t>
      </w:r>
    </w:p>
    <w:p w14:paraId="3E4CC82F" w14:textId="1C6D46DE" w:rsidR="001A07EA" w:rsidRDefault="001A07EA" w:rsidP="00B93754">
      <w:pPr>
        <w:jc w:val="both"/>
        <w:rPr>
          <w:kern w:val="0"/>
          <w14:ligatures w14:val="none"/>
        </w:rPr>
      </w:pPr>
      <w:r>
        <w:rPr>
          <w:kern w:val="0"/>
          <w14:ligatures w14:val="none"/>
        </w:rPr>
        <w:t xml:space="preserve">Le sentenze su questo tema si sono già orientate nella direzione oggi proposta, così che davvero credo che nessun </w:t>
      </w:r>
      <w:r w:rsidR="00EE06D7">
        <w:rPr>
          <w:kern w:val="0"/>
          <w14:ligatures w14:val="none"/>
        </w:rPr>
        <w:t>ufficio oggi</w:t>
      </w:r>
      <w:r>
        <w:rPr>
          <w:kern w:val="0"/>
          <w14:ligatures w14:val="none"/>
        </w:rPr>
        <w:t xml:space="preserve"> possa ipotizzare di applicare il canone su cornici o elementi strutturali non destinati a diffondere un messaggio pubblicitari</w:t>
      </w:r>
      <w:r w:rsidR="002A5562">
        <w:rPr>
          <w:kern w:val="0"/>
          <w14:ligatures w14:val="none"/>
        </w:rPr>
        <w:t>o</w:t>
      </w:r>
      <w:r>
        <w:rPr>
          <w:kern w:val="0"/>
          <w14:ligatures w14:val="none"/>
        </w:rPr>
        <w:t>.</w:t>
      </w:r>
    </w:p>
    <w:p w14:paraId="2706C014" w14:textId="089A9102" w:rsidR="00650B27" w:rsidRDefault="00650B27" w:rsidP="00B93754">
      <w:pPr>
        <w:jc w:val="both"/>
      </w:pPr>
      <w:r>
        <w:t>Tra le tante si richiama la s</w:t>
      </w:r>
      <w:r w:rsidRPr="00650B27">
        <w:t>entenza</w:t>
      </w:r>
      <w:r>
        <w:t xml:space="preserve"> del </w:t>
      </w:r>
      <w:r w:rsidRPr="00650B27">
        <w:t>30.10.2009  n. 23023,</w:t>
      </w:r>
      <w:r>
        <w:t xml:space="preserve"> con la quale </w:t>
      </w:r>
      <w:r w:rsidRPr="00650B27">
        <w:t xml:space="preserve"> la Corte di Cassazione aveva stabilito che la superficie del mezzo circostante il messaggio pubblicitario resta esente dall'imposizione in quanto sia costituita da una cornice oggettivamente distinta dallo spazio destinato alla pubblicità, che sia anche strutturalmente inidonea ad essere utilizzata per la diffusione del messaggio.</w:t>
      </w:r>
    </w:p>
    <w:p w14:paraId="33D49933" w14:textId="667298B9" w:rsidR="00EE06D7" w:rsidRDefault="00EE06D7" w:rsidP="00B93754">
      <w:pPr>
        <w:jc w:val="both"/>
      </w:pPr>
      <w:r>
        <w:t xml:space="preserve">Assodato quindi che la modifica confermi questa logica di tassazione, affrontiamo una possibile seconda chiave di lettura del testo proposto, supponendo che l’intenzione della modifica fosse rivolta ad una casistica diversa. </w:t>
      </w:r>
    </w:p>
    <w:p w14:paraId="1B7CE672" w14:textId="77777777" w:rsidR="00EE06D7" w:rsidRDefault="00EE06D7" w:rsidP="00EE06D7">
      <w:pPr>
        <w:jc w:val="both"/>
      </w:pPr>
      <w:r>
        <w:t xml:space="preserve">Il pensiero va ai casi in cui la pubblicità viene effettuata su fascioni o strutture che fanno parte dell’impianto pubblicitario ma che non hanno le caratteristiche di diffondere un messaggio pubblicitario. </w:t>
      </w:r>
    </w:p>
    <w:p w14:paraId="75A3656B" w14:textId="4C031711" w:rsidR="00EE06D7" w:rsidRDefault="00EE06D7" w:rsidP="00EE06D7">
      <w:pPr>
        <w:jc w:val="both"/>
        <w:rPr>
          <w:i/>
          <w:iCs/>
        </w:rPr>
      </w:pPr>
      <w:r>
        <w:t xml:space="preserve">Nella </w:t>
      </w:r>
      <w:r>
        <w:t>risoluzione ministeriale Finanze del 18/12/1997, n.231/E</w:t>
      </w:r>
      <w:r>
        <w:t xml:space="preserve"> si leggeva</w:t>
      </w:r>
      <w:r>
        <w:t>:</w:t>
      </w:r>
      <w:r>
        <w:t xml:space="preserve"> </w:t>
      </w:r>
      <w:r>
        <w:t xml:space="preserve">  </w:t>
      </w:r>
      <w:r w:rsidRPr="00EE06D7">
        <w:rPr>
          <w:i/>
          <w:iCs/>
        </w:rPr>
        <w:t xml:space="preserve">“…dover considerare come mezzo pubblicitario non l'intero fascione ma i vari mezzi pubblicitari che su di esso sono apposti. Poiché, infatti, i cassonetti in questione occupano solo in minima parte la superficie del fascione, non può essere riconosciuto a quest'ultimo altro effetto che quello di abbellire l'ingresso dell'esercizio commerciale. Una diversa soluzione </w:t>
      </w:r>
      <w:r w:rsidRPr="00EE06D7">
        <w:rPr>
          <w:i/>
          <w:iCs/>
        </w:rPr>
        <w:lastRenderedPageBreak/>
        <w:t>sarebbe sicuramente contraria allo spirito della legge, in quanto non e' possibile estendere la definizione di superficie imponibile a strutture di mero supporto strumentale prive di effetto pubblicitario”</w:t>
      </w:r>
    </w:p>
    <w:p w14:paraId="59F4D3D2" w14:textId="69A28FA3" w:rsidR="00EE06D7" w:rsidRDefault="00EE06D7" w:rsidP="00EE06D7">
      <w:pPr>
        <w:jc w:val="both"/>
      </w:pPr>
      <w:r>
        <w:t>Questa risoluzione aprì una serie di contenziosi proprio sull’interpretazione da riservare a quei casi dove in discussione non c’erano cornici o pali di sostegno, ma parti di un “fascione” che ospitava al suo interno dei distinti impianti pubblicitari. La valutazione in questi casi diventa meno scontata e ogni singolo caso necessità di un approfondimento. In questo senso la risoluzione del Ministero complicò le cose, aprendo ad interpretazioni distorte, ritendo dei fascioni</w:t>
      </w:r>
      <w:r w:rsidR="002A5562">
        <w:t>,</w:t>
      </w:r>
      <w:r>
        <w:t xml:space="preserve"> con chiari richiami all’attività, esclusi dalla superficie imponibile.</w:t>
      </w:r>
    </w:p>
    <w:p w14:paraId="35C4DFED" w14:textId="76265C1F" w:rsidR="00EE06D7" w:rsidRDefault="009B1F8D" w:rsidP="00EE06D7">
      <w:pPr>
        <w:jc w:val="both"/>
      </w:pPr>
      <w:r>
        <w:t xml:space="preserve">Sulla scorta di questa problematica troviamo diverse sentenza tra le quali la </w:t>
      </w:r>
      <w:r w:rsidRPr="009B1F8D">
        <w:t xml:space="preserve">Sentenza </w:t>
      </w:r>
      <w:r>
        <w:t xml:space="preserve">di </w:t>
      </w:r>
      <w:r w:rsidRPr="009B1F8D">
        <w:t xml:space="preserve">Cassazione </w:t>
      </w:r>
      <w:r>
        <w:t xml:space="preserve">del </w:t>
      </w:r>
      <w:r w:rsidRPr="009B1F8D">
        <w:t>06.12.2012  n. 12684</w:t>
      </w:r>
      <w:r>
        <w:t>, con la quale i giudici hanno chiarito come: “</w:t>
      </w:r>
      <w:r w:rsidRPr="009B1F8D">
        <w:rPr>
          <w:i/>
          <w:iCs/>
        </w:rPr>
        <w:t>se il supporto – nella specie il "fascione" – è destinato contestualmente sia a reggere la pubblicità sia ad altre funzioni, bisogna distinguere ciò che fa parte del "mezzo pubblicitario" da ciò che non ne fa parte. Ne fa parte tutto ciò che collega graficamente il "mezzo" al "messaggio", se per rilievo dimensionale, peculiari caratteristiche coloristiche e riferimenti grafici e/o cromatici a marchi e/o insegne aziendali dia luogo a un mezzo globalmente più "attirante".</w:t>
      </w:r>
    </w:p>
    <w:p w14:paraId="49888E8C" w14:textId="2A3FA159" w:rsidR="009B1F8D" w:rsidRPr="009B1F8D" w:rsidRDefault="009B1F8D" w:rsidP="00EE06D7">
      <w:pPr>
        <w:jc w:val="both"/>
      </w:pPr>
      <w:r>
        <w:t>In questo contesto la proposta di modifica non si pone in contrasto con quanto sostenuto dalla Corte di Cassazione che richiama la soggettività passiva per il fascione che, per caratteristiche, colore e riferimenti grafici, accresce l’efficacia pubblicitaria dei diversi mezzi collocati su di esso.</w:t>
      </w:r>
    </w:p>
    <w:p w14:paraId="23B7877F" w14:textId="55984CCE" w:rsidR="00625A06" w:rsidRDefault="009B1F8D" w:rsidP="00E83029">
      <w:pPr>
        <w:jc w:val="both"/>
      </w:pPr>
      <w:r>
        <w:t>Anche quest’ultima proposta, appare quindi poco incisiva e non apporta significativi miglioramenti sui criteri di calcolo del canone per le diffusioni pubblicitarie.</w:t>
      </w:r>
    </w:p>
    <w:p w14:paraId="4EE02FD7" w14:textId="1A115AEA" w:rsidR="009B1F8D" w:rsidRDefault="009B1F8D" w:rsidP="00E83029">
      <w:pPr>
        <w:jc w:val="both"/>
      </w:pPr>
      <w:r>
        <w:t>Ben altre modifiche sarebbero state necessarie, sia per completare il comma 825 in analisi con questo approfondimento, sia per molti altri commi della disciplina CUP che invece non hanno trovato considerazione dagli estensori della proposta di modifica.</w:t>
      </w:r>
    </w:p>
    <w:p w14:paraId="699FF050" w14:textId="24E7FB9F" w:rsidR="009B1F8D" w:rsidRDefault="009B1F8D" w:rsidP="00E83029">
      <w:pPr>
        <w:jc w:val="both"/>
      </w:pPr>
      <w:r>
        <w:t xml:space="preserve">Nella settima e ultima parte di questo ciclo di commenti, vediamo quali temi si potrebbero integrare all’articolo 26 della bozza di decreto delega. </w:t>
      </w:r>
    </w:p>
    <w:sectPr w:rsidR="009B1F8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96B5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21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11D63"/>
    <w:rsid w:val="00060149"/>
    <w:rsid w:val="00063280"/>
    <w:rsid w:val="00085BCB"/>
    <w:rsid w:val="000B110F"/>
    <w:rsid w:val="00105CA7"/>
    <w:rsid w:val="0013116B"/>
    <w:rsid w:val="00146429"/>
    <w:rsid w:val="001817D0"/>
    <w:rsid w:val="001A07EA"/>
    <w:rsid w:val="00205B39"/>
    <w:rsid w:val="002A5562"/>
    <w:rsid w:val="002C0183"/>
    <w:rsid w:val="00332356"/>
    <w:rsid w:val="00366250"/>
    <w:rsid w:val="003C44EE"/>
    <w:rsid w:val="00472A22"/>
    <w:rsid w:val="00476DED"/>
    <w:rsid w:val="004A753D"/>
    <w:rsid w:val="004C35CE"/>
    <w:rsid w:val="00547938"/>
    <w:rsid w:val="00560A95"/>
    <w:rsid w:val="005C5942"/>
    <w:rsid w:val="005F7C52"/>
    <w:rsid w:val="00621C14"/>
    <w:rsid w:val="00625A06"/>
    <w:rsid w:val="00650B27"/>
    <w:rsid w:val="006C0C6E"/>
    <w:rsid w:val="006C329E"/>
    <w:rsid w:val="00703996"/>
    <w:rsid w:val="007B1D34"/>
    <w:rsid w:val="007E54B5"/>
    <w:rsid w:val="00816F43"/>
    <w:rsid w:val="00865BCF"/>
    <w:rsid w:val="00886058"/>
    <w:rsid w:val="008D25DD"/>
    <w:rsid w:val="008F2D22"/>
    <w:rsid w:val="00934E5B"/>
    <w:rsid w:val="009A1C50"/>
    <w:rsid w:val="009B1F8D"/>
    <w:rsid w:val="00A22251"/>
    <w:rsid w:val="00A442D2"/>
    <w:rsid w:val="00A466C6"/>
    <w:rsid w:val="00A62B01"/>
    <w:rsid w:val="00A91243"/>
    <w:rsid w:val="00B52660"/>
    <w:rsid w:val="00B76F16"/>
    <w:rsid w:val="00B93754"/>
    <w:rsid w:val="00C3345A"/>
    <w:rsid w:val="00C4143F"/>
    <w:rsid w:val="00C6207D"/>
    <w:rsid w:val="00C86235"/>
    <w:rsid w:val="00D80C8B"/>
    <w:rsid w:val="00DC634A"/>
    <w:rsid w:val="00E21F8C"/>
    <w:rsid w:val="00E70E43"/>
    <w:rsid w:val="00E74A45"/>
    <w:rsid w:val="00E83029"/>
    <w:rsid w:val="00EE06D7"/>
    <w:rsid w:val="00F237B7"/>
    <w:rsid w:val="00F51FA0"/>
    <w:rsid w:val="00FC1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E8302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552767">
      <w:bodyDiv w:val="1"/>
      <w:marLeft w:val="0"/>
      <w:marRight w:val="0"/>
      <w:marTop w:val="0"/>
      <w:marBottom w:val="0"/>
      <w:divBdr>
        <w:top w:val="none" w:sz="0" w:space="0" w:color="auto"/>
        <w:left w:val="none" w:sz="0" w:space="0" w:color="auto"/>
        <w:bottom w:val="none" w:sz="0" w:space="0" w:color="auto"/>
        <w:right w:val="none" w:sz="0" w:space="0" w:color="auto"/>
      </w:divBdr>
    </w:div>
    <w:div w:id="525867146">
      <w:bodyDiv w:val="1"/>
      <w:marLeft w:val="0"/>
      <w:marRight w:val="0"/>
      <w:marTop w:val="0"/>
      <w:marBottom w:val="0"/>
      <w:divBdr>
        <w:top w:val="none" w:sz="0" w:space="0" w:color="auto"/>
        <w:left w:val="none" w:sz="0" w:space="0" w:color="auto"/>
        <w:bottom w:val="none" w:sz="0" w:space="0" w:color="auto"/>
        <w:right w:val="none" w:sz="0" w:space="0" w:color="auto"/>
      </w:divBdr>
    </w:div>
    <w:div w:id="556358650">
      <w:bodyDiv w:val="1"/>
      <w:marLeft w:val="0"/>
      <w:marRight w:val="0"/>
      <w:marTop w:val="0"/>
      <w:marBottom w:val="0"/>
      <w:divBdr>
        <w:top w:val="none" w:sz="0" w:space="0" w:color="auto"/>
        <w:left w:val="none" w:sz="0" w:space="0" w:color="auto"/>
        <w:bottom w:val="none" w:sz="0" w:space="0" w:color="auto"/>
        <w:right w:val="none" w:sz="0" w:space="0" w:color="auto"/>
      </w:divBdr>
    </w:div>
    <w:div w:id="572666635">
      <w:bodyDiv w:val="1"/>
      <w:marLeft w:val="0"/>
      <w:marRight w:val="0"/>
      <w:marTop w:val="0"/>
      <w:marBottom w:val="0"/>
      <w:divBdr>
        <w:top w:val="none" w:sz="0" w:space="0" w:color="auto"/>
        <w:left w:val="none" w:sz="0" w:space="0" w:color="auto"/>
        <w:bottom w:val="none" w:sz="0" w:space="0" w:color="auto"/>
        <w:right w:val="none" w:sz="0" w:space="0" w:color="auto"/>
      </w:divBdr>
      <w:divsChild>
        <w:div w:id="887187487">
          <w:marLeft w:val="259"/>
          <w:marRight w:val="0"/>
          <w:marTop w:val="98"/>
          <w:marBottom w:val="0"/>
          <w:divBdr>
            <w:top w:val="none" w:sz="0" w:space="0" w:color="auto"/>
            <w:left w:val="none" w:sz="0" w:space="0" w:color="auto"/>
            <w:bottom w:val="none" w:sz="0" w:space="0" w:color="auto"/>
            <w:right w:val="none" w:sz="0" w:space="0" w:color="auto"/>
          </w:divBdr>
        </w:div>
      </w:divsChild>
    </w:div>
    <w:div w:id="188659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3</Pages>
  <Words>1603</Words>
  <Characters>9140</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39</cp:revision>
  <dcterms:created xsi:type="dcterms:W3CDTF">2023-10-02T10:02:00Z</dcterms:created>
  <dcterms:modified xsi:type="dcterms:W3CDTF">2023-10-05T18:26:00Z</dcterms:modified>
</cp:coreProperties>
</file>