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6DEFF" w14:textId="58FA1425" w:rsidR="006C0C6E" w:rsidRDefault="006C0C6E" w:rsidP="00A62B01">
      <w:pPr>
        <w:rPr>
          <w:b/>
          <w:bCs/>
        </w:rPr>
      </w:pPr>
      <w:r>
        <w:rPr>
          <w:b/>
          <w:bCs/>
        </w:rPr>
        <w:t xml:space="preserve">Titolo: </w:t>
      </w:r>
      <w:r w:rsidR="00934E5B">
        <w:rPr>
          <w:b/>
          <w:bCs/>
        </w:rPr>
        <w:t xml:space="preserve">LE MODIFICHE ALLA DISCIPLINA CUP NELLA BOZZA DI DECRETO DELEGA </w:t>
      </w:r>
      <w:r w:rsidR="00A62B01" w:rsidRPr="004A753D">
        <w:rPr>
          <w:b/>
          <w:bCs/>
        </w:rPr>
        <w:t xml:space="preserve"> </w:t>
      </w:r>
    </w:p>
    <w:p w14:paraId="3D2EEA74" w14:textId="17526DE1" w:rsidR="00A62B01" w:rsidRPr="004A753D" w:rsidRDefault="004A753D" w:rsidP="00A62B01">
      <w:pPr>
        <w:rPr>
          <w:b/>
          <w:bCs/>
        </w:rPr>
      </w:pPr>
      <w:r w:rsidRPr="004A753D">
        <w:rPr>
          <w:b/>
          <w:bCs/>
        </w:rPr>
        <w:t xml:space="preserve">PARTE </w:t>
      </w:r>
      <w:r w:rsidR="00B93754">
        <w:rPr>
          <w:b/>
          <w:bCs/>
        </w:rPr>
        <w:t>SESTA</w:t>
      </w:r>
      <w:r w:rsidR="006C0C6E">
        <w:rPr>
          <w:b/>
          <w:bCs/>
        </w:rPr>
        <w:t xml:space="preserve">: </w:t>
      </w:r>
      <w:r w:rsidR="00765B91">
        <w:rPr>
          <w:b/>
          <w:bCs/>
        </w:rPr>
        <w:t>LE MODIFICHE MANCATE E IL CUP CHE VORREI</w:t>
      </w:r>
    </w:p>
    <w:p w14:paraId="1298A494" w14:textId="75A2F5FE" w:rsidR="00A62B01" w:rsidRDefault="00765B91" w:rsidP="0013116B">
      <w:pPr>
        <w:jc w:val="both"/>
      </w:pPr>
      <w:r>
        <w:t>Con questo approfondimento si chiude il ciclo di analisi de</w:t>
      </w:r>
      <w:r w:rsidR="0013116B">
        <w:t xml:space="preserve">ll’articolo 26 </w:t>
      </w:r>
      <w:r>
        <w:t>del</w:t>
      </w:r>
      <w:r w:rsidR="0013116B">
        <w:t xml:space="preserve">la </w:t>
      </w:r>
      <w:r w:rsidR="00A62B01">
        <w:t xml:space="preserve">bozza </w:t>
      </w:r>
      <w:r w:rsidR="00C3345A">
        <w:t xml:space="preserve">di decreto </w:t>
      </w:r>
      <w:r w:rsidR="00C3345A" w:rsidRPr="00C3345A">
        <w:t>legislativo di attuazione della delega</w:t>
      </w:r>
      <w:r w:rsidR="00C3345A">
        <w:t xml:space="preserve"> </w:t>
      </w:r>
      <w:r w:rsidR="00C3345A" w:rsidRPr="00C3345A">
        <w:t xml:space="preserve">sulla fiscalità </w:t>
      </w:r>
      <w:r w:rsidR="004A753D" w:rsidRPr="00C3345A">
        <w:t>locale</w:t>
      </w:r>
      <w:r w:rsidR="004A753D">
        <w:t>, dedicato</w:t>
      </w:r>
      <w:r w:rsidR="00A62B01">
        <w:t xml:space="preserve"> </w:t>
      </w:r>
      <w:r w:rsidR="00C3345A">
        <w:t>alle</w:t>
      </w:r>
      <w:r w:rsidR="00A62B01">
        <w:t xml:space="preserve"> modifiche </w:t>
      </w:r>
      <w:r w:rsidR="00C3345A">
        <w:t>della</w:t>
      </w:r>
      <w:r w:rsidR="00A62B01">
        <w:t xml:space="preserve"> disciplina del canone unico patrimoniale – CUP.</w:t>
      </w:r>
    </w:p>
    <w:p w14:paraId="73950F8B" w14:textId="3782BFC0" w:rsidR="00A22251" w:rsidRDefault="0013116B" w:rsidP="00A22251">
      <w:pPr>
        <w:spacing w:before="240" w:after="240"/>
        <w:jc w:val="both"/>
      </w:pPr>
      <w:r>
        <w:t xml:space="preserve">In questo </w:t>
      </w:r>
      <w:r w:rsidR="00765B91">
        <w:t xml:space="preserve">settimo e ultimo appuntamento </w:t>
      </w:r>
      <w:r>
        <w:t xml:space="preserve">andiamo a valutare le modifiche che </w:t>
      </w:r>
      <w:r w:rsidR="00765B91">
        <w:t>avremmo voluto leggere, e che forse potrebbero ancora essere valutate dagli estensori del decreto ancora in itinere.</w:t>
      </w:r>
    </w:p>
    <w:p w14:paraId="0933254C" w14:textId="6D4B7501" w:rsidR="00765B91" w:rsidRDefault="00765B91" w:rsidP="00765B91">
      <w:pPr>
        <w:jc w:val="both"/>
      </w:pPr>
      <w:r>
        <w:t>Sarebbe necessaria una più completa revisione del testo normativo, a volte criptico, sicuramente incompleto, con evidenti lacune su diversi aspetti della disciplina, lasciando aperti troppi temi fondamentali, finendo per essere diversamente interpretati dagli enti territoriali chiamati nella gestione della nuova entrata patrimoniale per mezzo dello strumento regolamentare.</w:t>
      </w:r>
    </w:p>
    <w:p w14:paraId="3C6EFED6" w14:textId="25D8BD41" w:rsidR="00765B91" w:rsidRDefault="00765B91" w:rsidP="00A22251">
      <w:pPr>
        <w:spacing w:before="240" w:after="240"/>
        <w:jc w:val="both"/>
      </w:pPr>
      <w:r>
        <w:t xml:space="preserve">Le sei modifiche proposte e contenute nell’articolo 26 (lettere da A </w:t>
      </w:r>
      <w:proofErr w:type="spellStart"/>
      <w:r>
        <w:t>a</w:t>
      </w:r>
      <w:proofErr w:type="spellEnd"/>
      <w:r>
        <w:t xml:space="preserve"> F) porteranno, in modo diverso tra loro, dei benefici </w:t>
      </w:r>
      <w:r w:rsidR="00EB527D">
        <w:t>sull’operatività, ma</w:t>
      </w:r>
      <w:r>
        <w:t xml:space="preserve"> quali altri commi della disciplina contenuta nella Legge 160/2019 necessitano di correttivi?</w:t>
      </w:r>
    </w:p>
    <w:p w14:paraId="07EBB0EA" w14:textId="79B01D00" w:rsidR="00EB527D" w:rsidRDefault="00EB527D" w:rsidP="00A22251">
      <w:pPr>
        <w:spacing w:before="240" w:after="240"/>
        <w:jc w:val="both"/>
      </w:pPr>
      <w:r>
        <w:t xml:space="preserve">Cercando sponda anche dalla giurisprudenza formatasi con i prelievi precedenti, sui quali il nuovo Canone affonda pesantemente le radici, vediamo quali correttivi potrebbero integrare quelli già indicati all’articolo 26. </w:t>
      </w:r>
    </w:p>
    <w:p w14:paraId="11A85431" w14:textId="04450C23" w:rsidR="00EB527D" w:rsidRDefault="00EB527D" w:rsidP="00A22251">
      <w:pPr>
        <w:spacing w:before="240" w:after="240"/>
        <w:jc w:val="both"/>
        <w:rPr>
          <w:b/>
        </w:rPr>
      </w:pPr>
      <w:r w:rsidRPr="00EB527D">
        <w:rPr>
          <w:b/>
          <w:bCs/>
        </w:rPr>
        <w:t>Modifica del comma 818</w:t>
      </w:r>
      <w:r>
        <w:rPr>
          <w:b/>
          <w:bCs/>
        </w:rPr>
        <w:t xml:space="preserve"> - </w:t>
      </w:r>
      <w:r w:rsidRPr="00EB527D">
        <w:rPr>
          <w:b/>
          <w:bCs/>
        </w:rPr>
        <w:t>La</w:t>
      </w:r>
      <w:r>
        <w:rPr>
          <w:b/>
        </w:rPr>
        <w:t xml:space="preserve"> competenza territoriale.</w:t>
      </w:r>
    </w:p>
    <w:p w14:paraId="0F9CC03D" w14:textId="6D525AA0" w:rsidR="00EB527D" w:rsidRDefault="00EB527D" w:rsidP="00EB527D">
      <w:pPr>
        <w:spacing w:before="240" w:after="240"/>
        <w:jc w:val="both"/>
        <w:rPr>
          <w:i/>
          <w:iCs/>
        </w:rPr>
      </w:pPr>
      <w:r w:rsidRPr="00EB527D">
        <w:rPr>
          <w:bCs/>
        </w:rPr>
        <w:t>Per completare la modifica già ipotizzata del comma 820 con l’aggiunta dele parole “, di esclusiva</w:t>
      </w:r>
      <w:r w:rsidRPr="00EB527D">
        <w:rPr>
          <w:bCs/>
          <w:i/>
          <w:iCs/>
        </w:rPr>
        <w:t xml:space="preserve"> competenza comunale”;</w:t>
      </w:r>
      <w:r>
        <w:rPr>
          <w:bCs/>
          <w:i/>
          <w:iCs/>
        </w:rPr>
        <w:t xml:space="preserve"> </w:t>
      </w:r>
      <w:r>
        <w:rPr>
          <w:bCs/>
        </w:rPr>
        <w:t xml:space="preserve">sarebbe utile prevedere una modifica </w:t>
      </w:r>
      <w:r w:rsidR="003C3227">
        <w:rPr>
          <w:bCs/>
        </w:rPr>
        <w:t xml:space="preserve">anche </w:t>
      </w:r>
      <w:r>
        <w:rPr>
          <w:bCs/>
        </w:rPr>
        <w:t xml:space="preserve">del comma 818 in questi termini: </w:t>
      </w:r>
      <w:r w:rsidR="003C3227">
        <w:rPr>
          <w:bCs/>
        </w:rPr>
        <w:t xml:space="preserve">&lt;&lt; </w:t>
      </w:r>
      <w:r w:rsidRPr="00EB527D">
        <w:rPr>
          <w:bCs/>
        </w:rPr>
        <w:t>al</w:t>
      </w:r>
      <w:r>
        <w:rPr>
          <w:bCs/>
        </w:rPr>
        <w:t>l’inizio del</w:t>
      </w:r>
      <w:r w:rsidRPr="00EB527D">
        <w:rPr>
          <w:bCs/>
        </w:rPr>
        <w:t xml:space="preserve"> comma </w:t>
      </w:r>
      <w:r>
        <w:rPr>
          <w:bCs/>
        </w:rPr>
        <w:t>818</w:t>
      </w:r>
      <w:r w:rsidRPr="00EB527D">
        <w:rPr>
          <w:bCs/>
        </w:rPr>
        <w:t xml:space="preserve"> sono </w:t>
      </w:r>
      <w:r>
        <w:rPr>
          <w:bCs/>
        </w:rPr>
        <w:t>inserite</w:t>
      </w:r>
      <w:r w:rsidRPr="00EB527D">
        <w:rPr>
          <w:bCs/>
        </w:rPr>
        <w:t xml:space="preserve"> le parole “</w:t>
      </w:r>
      <w:r w:rsidRPr="00A32FA0">
        <w:rPr>
          <w:b/>
          <w:bCs/>
          <w:i/>
          <w:iCs/>
        </w:rPr>
        <w:t>Ai soli fini del presupposto di cui alla lettera A del comma 819,”</w:t>
      </w:r>
      <w:r w:rsidR="003C3227" w:rsidRPr="00A32FA0">
        <w:rPr>
          <w:b/>
          <w:bCs/>
          <w:i/>
          <w:iCs/>
        </w:rPr>
        <w:t>&gt;&gt;.</w:t>
      </w:r>
    </w:p>
    <w:p w14:paraId="37C85D6D" w14:textId="4E1FA687" w:rsidR="003C3227" w:rsidRDefault="003C3227" w:rsidP="00EB527D">
      <w:pPr>
        <w:spacing w:before="240" w:after="240"/>
        <w:jc w:val="both"/>
      </w:pPr>
      <w:r>
        <w:t>Aggiunta che chiarirebbe definitivamente la soggettività attiva dei diversi enti territoriali in materia di CUP, distinguendo la componente legata alle occupazioni di suolo pubblico da quella delle diffusioni pubblicitarie.</w:t>
      </w:r>
    </w:p>
    <w:p w14:paraId="2A617E7A" w14:textId="4CD14B57" w:rsidR="00A32FA0" w:rsidRDefault="00A32FA0" w:rsidP="00A32FA0">
      <w:pPr>
        <w:spacing w:before="240" w:after="240"/>
        <w:jc w:val="both"/>
      </w:pPr>
      <w:r>
        <w:t xml:space="preserve">Perché deve essere chiaro come la disposizione contenuta nel comma 818 debba essere ricondotta solo alle occupazioni di suolo pubblico e non al presupposto pubblicitario. Con il nuovo prelievo non si è voluto spostare la  soggettività  attiva da un ente all’altro, così che, anche col nuovo Canone Unico la Provincia o la Città Metropolitana potranno continuare a pretendere solo la componente di canone unico collegata all’occupazione di suolo pubblico e non anche quella collegata alla diffusione dei messaggi pubblicitari. </w:t>
      </w:r>
    </w:p>
    <w:p w14:paraId="70C2A50B" w14:textId="0FD8110E" w:rsidR="003C3227" w:rsidRDefault="005F20B3" w:rsidP="00EB527D">
      <w:pPr>
        <w:spacing w:before="240" w:after="240"/>
        <w:jc w:val="both"/>
        <w:rPr>
          <w:b/>
          <w:bCs/>
        </w:rPr>
      </w:pPr>
      <w:r w:rsidRPr="00EB527D">
        <w:rPr>
          <w:b/>
          <w:bCs/>
        </w:rPr>
        <w:t>Modifica del comma 8</w:t>
      </w:r>
      <w:r>
        <w:rPr>
          <w:b/>
          <w:bCs/>
        </w:rPr>
        <w:t>21 lettera H – Le sanzioni amministrative pecuniarie</w:t>
      </w:r>
    </w:p>
    <w:p w14:paraId="551E69D0" w14:textId="0F985D27" w:rsidR="005F20B3" w:rsidRDefault="005F20B3" w:rsidP="005F20B3">
      <w:pPr>
        <w:spacing w:before="240" w:after="240"/>
        <w:jc w:val="both"/>
      </w:pPr>
      <w:r>
        <w:t>Alla lettera H del comma 821 il Legislatore si è limitato a definire una generica sanzione pecuniaria il cui calcolo è ricondotto all’importo del canone o dell’indennità, senza specificare in quali contesti debba essere applicata.</w:t>
      </w:r>
    </w:p>
    <w:p w14:paraId="668CAAF9" w14:textId="292424F1" w:rsidR="00D8470B" w:rsidRDefault="00D8470B" w:rsidP="00D8470B">
      <w:pPr>
        <w:jc w:val="both"/>
      </w:pPr>
      <w:r>
        <w:t>Possiamo quindi  ipotizzare la seguente integrazione al termine della lettera H del comma 821: &lt;&lt; aggiungere la frase “</w:t>
      </w:r>
      <w:r w:rsidRPr="0062619B">
        <w:rPr>
          <w:b/>
          <w:bCs/>
        </w:rPr>
        <w:t>N</w:t>
      </w:r>
      <w:r w:rsidRPr="0062619B">
        <w:rPr>
          <w:b/>
          <w:bCs/>
          <w:i/>
        </w:rPr>
        <w:t>ei casi di tardivo, parziale omesso pagamento del canone la sanzione amministrativa pecuniaria viene fissata nella misura  30% del canone non versato o versato  tardivamente, alle altre violazioni delle disposizioni regolamentari, consegue l’applicazione della sanzione amministrativa pecuniaria di cui all’articolo 7 bis del D. lgs. 267/2000”</w:t>
      </w:r>
      <w:r>
        <w:rPr>
          <w:b/>
          <w:bCs/>
          <w:i/>
        </w:rPr>
        <w:t>&gt;&gt;</w:t>
      </w:r>
    </w:p>
    <w:p w14:paraId="7F8D308E" w14:textId="77777777" w:rsidR="00D8470B" w:rsidRDefault="00D8470B" w:rsidP="005F20B3">
      <w:pPr>
        <w:spacing w:before="240" w:after="240"/>
        <w:jc w:val="both"/>
      </w:pPr>
    </w:p>
    <w:p w14:paraId="0ACE3FAF" w14:textId="77C3E7BF" w:rsidR="005F20B3" w:rsidRDefault="005F20B3" w:rsidP="005F20B3">
      <w:pPr>
        <w:spacing w:before="240" w:after="240"/>
        <w:jc w:val="both"/>
      </w:pPr>
      <w:r>
        <w:lastRenderedPageBreak/>
        <w:t xml:space="preserve">Trattandosi di entrata patrimoniale e quindi extra tributaria, non potranno trovare le sanzioni disposte dai </w:t>
      </w:r>
      <w:proofErr w:type="spellStart"/>
      <w:r>
        <w:t>d.lgs</w:t>
      </w:r>
      <w:proofErr w:type="spellEnd"/>
      <w:r>
        <w:t xml:space="preserve"> 471, 472 e 473 del 1997, in particolare non potrà essere applicata la sanzione per l’omesso versamento fissata dal Legislatore nella misura del 30 per cento del tributo non versato o versato tardivamente.</w:t>
      </w:r>
    </w:p>
    <w:p w14:paraId="02F85BB3" w14:textId="707853B4" w:rsidR="005F20B3" w:rsidRDefault="005F20B3" w:rsidP="005F20B3">
      <w:pPr>
        <w:spacing w:before="240" w:after="240"/>
        <w:jc w:val="both"/>
      </w:pPr>
      <w:r>
        <w:t xml:space="preserve">Stante l’attuale testo normativo che non affronta le diverse possibili violazioni, gli enti hanno </w:t>
      </w:r>
      <w:r w:rsidR="00D8470B">
        <w:t xml:space="preserve">finora </w:t>
      </w:r>
      <w:r>
        <w:t xml:space="preserve">disciplinato nel proprio regolamento le sanzioni applicabili, seguendo due diverse linee di pensiero. Da una parte chi si è affidato alla disciplina fissata dalla Legge 689/81 per le violazioni amministrative, dall’altra chi, partendo dall’unica sanzione prevista dal Legislatore alla lettera H del comma 821, ha disposto una </w:t>
      </w:r>
      <w:r w:rsidR="008F1E7C">
        <w:t>diversa percentuale</w:t>
      </w:r>
      <w:r>
        <w:t xml:space="preserve"> da applicare alla violazione per omesso versamento.</w:t>
      </w:r>
    </w:p>
    <w:p w14:paraId="0CE28133" w14:textId="10D18C2D" w:rsidR="005F20B3" w:rsidRDefault="005F20B3" w:rsidP="005F20B3">
      <w:pPr>
        <w:jc w:val="both"/>
        <w:rPr>
          <w:b/>
        </w:rPr>
      </w:pPr>
      <w:r>
        <w:t xml:space="preserve">Sul tema dell’omesso versamento si espresso </w:t>
      </w:r>
      <w:r w:rsidR="008F1E7C">
        <w:t xml:space="preserve">anche </w:t>
      </w:r>
      <w:r>
        <w:t xml:space="preserve">il Dipartimento del MEF nell’ambito delle risposte fornite a </w:t>
      </w:r>
      <w:proofErr w:type="spellStart"/>
      <w:r>
        <w:t>Telefisco</w:t>
      </w:r>
      <w:proofErr w:type="spellEnd"/>
      <w:r>
        <w:t>, secondo il quale non si applica la previsione indennitaria di cui alla lettera g) del comma 821, ma solo la sanzione prevista dalla lettera h), stabilita in misura non inferiore all’ammontare del canone, né superiore al doppio dello stesso, ferme restando quelle stabilite dagli articoli 20, commi 4 e 5, e 23 del Codice della strada. Non si potrebbe quindi  prendere in considerazione la sanzione di cui all’articolo 7-bis del Dlgs 267 del 2000 ( sanzione amministrativa pecuniaria da 25 euro a 500 euro</w:t>
      </w:r>
      <w:r>
        <w:rPr>
          <w:b/>
        </w:rPr>
        <w:t>).</w:t>
      </w:r>
    </w:p>
    <w:p w14:paraId="0FD12AC9" w14:textId="77777777" w:rsidR="005F20B3" w:rsidRDefault="005F20B3" w:rsidP="005F20B3">
      <w:pPr>
        <w:jc w:val="both"/>
      </w:pPr>
      <w:r>
        <w:t xml:space="preserve">È importante in questo senso, e seguendo la linea tracciata dal MEF, porre l’attenzione sulla possibilità per le Pubbliche Amministrazioni di definire  una corretta misura della sanzione amministrativa di cui alla lettera H.  i Comuni, nell'esercizio della potestà regolamentare prevista in materia di disciplina delle proprie entrate, anche tributarie, possono infatti prevedere, in ottemperanza all’articolo 50 del </w:t>
      </w:r>
      <w:proofErr w:type="spellStart"/>
      <w:r>
        <w:t>D.Lgs</w:t>
      </w:r>
      <w:proofErr w:type="spellEnd"/>
      <w:r>
        <w:t xml:space="preserve"> 449/97, specifiche disposizioni volte a semplificare e razionalizzare il procedimento di accertamento, compresa la possibilità di riduzione delle sanzioni in conformità con i principi desumibili dall'articolo 3, comma 133, lettera l), della Legge 23 dicembre 1996, n. 662, in quanto compatibili. Per questo motivo è corretto ipotizzare una sanzione amministrativa per omesso versamento calcolata nella misura del 30% del canone non versato.</w:t>
      </w:r>
    </w:p>
    <w:p w14:paraId="3180A257" w14:textId="2C06CD72" w:rsidR="008F1E7C" w:rsidRDefault="008F1E7C" w:rsidP="005F20B3">
      <w:pPr>
        <w:jc w:val="both"/>
      </w:pPr>
      <w:r>
        <w:t>Onde evitare una proliferazione di forme diverse sanzionatorie</w:t>
      </w:r>
      <w:r w:rsidR="00D8470B">
        <w:t xml:space="preserve"> a livello locale </w:t>
      </w:r>
      <w:r>
        <w:t xml:space="preserve"> sarebbe </w:t>
      </w:r>
      <w:r w:rsidR="00D8470B">
        <w:t xml:space="preserve">quindi </w:t>
      </w:r>
      <w:r>
        <w:t>utile apportare</w:t>
      </w:r>
      <w:r w:rsidR="00D8470B">
        <w:t>,</w:t>
      </w:r>
      <w:r>
        <w:t xml:space="preserve"> a livello di norma nazionale</w:t>
      </w:r>
      <w:r w:rsidR="00D8470B">
        <w:t>,</w:t>
      </w:r>
      <w:r>
        <w:t xml:space="preserve"> la modifica alla lettera H del comma 821</w:t>
      </w:r>
      <w:r w:rsidR="00D8470B">
        <w:t xml:space="preserve"> poc’anzi descritta</w:t>
      </w:r>
      <w:r>
        <w:t xml:space="preserve"> </w:t>
      </w:r>
    </w:p>
    <w:p w14:paraId="7C549D2B" w14:textId="6A64A8BF" w:rsidR="005F20B3" w:rsidRDefault="0062619B" w:rsidP="00EB527D">
      <w:pPr>
        <w:spacing w:before="240" w:after="240"/>
        <w:jc w:val="both"/>
        <w:rPr>
          <w:b/>
          <w:bCs/>
        </w:rPr>
      </w:pPr>
      <w:bookmarkStart w:id="0" w:name="_Hlk147486670"/>
      <w:r w:rsidRPr="00EB527D">
        <w:rPr>
          <w:b/>
          <w:bCs/>
        </w:rPr>
        <w:t>Modifica del comma</w:t>
      </w:r>
      <w:r w:rsidR="00D8470B">
        <w:rPr>
          <w:b/>
          <w:bCs/>
        </w:rPr>
        <w:t xml:space="preserve"> 824 - </w:t>
      </w:r>
      <w:r w:rsidR="00D8470B">
        <w:rPr>
          <w:b/>
        </w:rPr>
        <w:t>Il criterio applicativo per le occupazioni di suolo pubblico</w:t>
      </w:r>
    </w:p>
    <w:bookmarkEnd w:id="0"/>
    <w:p w14:paraId="0F14330E" w14:textId="37AEBB70" w:rsidR="005F20B3" w:rsidRPr="005F20B3" w:rsidRDefault="00D8470B" w:rsidP="00EB527D">
      <w:pPr>
        <w:spacing w:before="240" w:after="240"/>
        <w:jc w:val="both"/>
      </w:pPr>
      <w:r>
        <w:t>Comma dedicato ai criteri di calcolo del Canone in riferimento al presupposto di cui al comma 819 lettera A, ovvero quelli dedicati alle occupazioni di suolo pubblico. Comma che quindi dovrebbe dettare le regole fondamentali necessarie per definire le tariffe e i criteri di calcolo per la giusta liquidazione del dovuto</w:t>
      </w:r>
    </w:p>
    <w:p w14:paraId="0E59ECD9" w14:textId="77777777" w:rsidR="000C3A6C" w:rsidRDefault="000C3A6C" w:rsidP="000C3A6C">
      <w:pPr>
        <w:spacing w:before="240" w:after="240"/>
        <w:jc w:val="both"/>
      </w:pPr>
      <w:r>
        <w:t>Nella prima parte del testo vengono definiti i parametri che andranno ad incidere sul calcolo del canone, nella seconda invece si tenta di disciplinare i passi carrabili.</w:t>
      </w:r>
    </w:p>
    <w:p w14:paraId="2ADFFFC6" w14:textId="473BB0FC" w:rsidR="000C3A6C" w:rsidRDefault="000C3A6C" w:rsidP="000C3A6C">
      <w:pPr>
        <w:spacing w:before="240" w:after="240"/>
        <w:jc w:val="both"/>
      </w:pPr>
      <w:r>
        <w:t>La tariffa del canone per le occupazioni di suolo pubblico dovrebbe essere determinata sulla base dei seguenti elementi: classificazione delle strade in ordine di importanza, entità dell'occupazione, espressa in metri quadrati o lineari con arrotondamento delle frazioni  all'unità superiore, durata dell'occupazione, valore economico dell’area in relazione all’attività esercitata, al sacrificio imposto alla collettività per la sottrazione dell’area stessa all’uso pubblico con previsione di coefficienti moltiplicatori per specifiche attività esercitate dai titolari delle concessioni anche in relazione alle modalità dell’occupazione nonché ai costi sostenuti dal Comune per la sua salvaguardia.</w:t>
      </w:r>
    </w:p>
    <w:p w14:paraId="4CB33C4C" w14:textId="77777777" w:rsidR="000C3A6C" w:rsidRDefault="000C3A6C" w:rsidP="000C3A6C">
      <w:pPr>
        <w:spacing w:before="240" w:after="240"/>
        <w:jc w:val="both"/>
      </w:pPr>
      <w:r>
        <w:t xml:space="preserve">Sulla parte del comma dedicata ai passi carrabili la situazione è ancora più lacunosa. Il legislatore perde l’occasione di fare finalmente chiarezza sulla materia, afflitta negli scorsi decenni da problematiche legate a normative troppo distanti tra loro. Il </w:t>
      </w:r>
      <w:proofErr w:type="spellStart"/>
      <w:r>
        <w:t>D.Lgs</w:t>
      </w:r>
      <w:proofErr w:type="spellEnd"/>
      <w:r>
        <w:t xml:space="preserve"> 507/93 e il Codice della Strada parlavano due lingue diverse e far dialogare i due sistemi era impossibile. </w:t>
      </w:r>
    </w:p>
    <w:p w14:paraId="25372E9F" w14:textId="58FC88AD" w:rsidR="00EB527D" w:rsidRDefault="000C3A6C" w:rsidP="000C3A6C">
      <w:pPr>
        <w:spacing w:before="240" w:after="240"/>
        <w:jc w:val="both"/>
      </w:pPr>
      <w:r>
        <w:lastRenderedPageBreak/>
        <w:t xml:space="preserve">Il Legislatore poco scrive </w:t>
      </w:r>
      <w:r w:rsidR="00AA2C27">
        <w:t xml:space="preserve">infatti </w:t>
      </w:r>
      <w:r>
        <w:t>sul tema, demandando così la disciplina specifica ai singoli regolamenti, basando la gestione del prelievo, come detto, sui principi generali della nuova entrata che vuole strettamente connessa la fase di rilascio delle concessioni con la soggettività al canone</w:t>
      </w:r>
      <w:r w:rsidR="00A4532F">
        <w:t>.</w:t>
      </w:r>
    </w:p>
    <w:p w14:paraId="48A4B9A6" w14:textId="6C3CC91E" w:rsidR="00A4532F" w:rsidRDefault="00A4532F" w:rsidP="000C3A6C">
      <w:pPr>
        <w:spacing w:before="240" w:after="240"/>
        <w:jc w:val="both"/>
      </w:pPr>
      <w:r>
        <w:t>Fatte queste considerazioni, possiamo ipotizzare un comma dedicato ai criteri di definizione del canone per le occupazioni e per i passi carrabili più organica in modo da limitare l’iniziativa del singolo ente territoriale nel disciplinare le diverse ipotesi di calcolo. Del resto questo comma è troppo importante nell’ambito della disciplina perché fissa i criteri per la giusta liquidazione del CUP.</w:t>
      </w:r>
    </w:p>
    <w:p w14:paraId="1D340BB5" w14:textId="11657FCF" w:rsidR="0084055A" w:rsidRDefault="00A4532F" w:rsidP="0084055A">
      <w:pPr>
        <w:spacing w:before="240" w:after="240"/>
        <w:jc w:val="both"/>
        <w:rPr>
          <w:i/>
        </w:rPr>
      </w:pPr>
      <w:r>
        <w:t>La modifica potrebbe essere imposta</w:t>
      </w:r>
      <w:r w:rsidR="00AA2C27">
        <w:t>ta</w:t>
      </w:r>
      <w:r>
        <w:t xml:space="preserve"> in questi termini: &lt;&lt;</w:t>
      </w:r>
      <w:r w:rsidR="00AA2C27" w:rsidRPr="0084055A">
        <w:rPr>
          <w:b/>
          <w:bCs/>
        </w:rPr>
        <w:t xml:space="preserve"> dopo le parole “metri quadrati” aggiungere “</w:t>
      </w:r>
      <w:r w:rsidR="00AA2C27" w:rsidRPr="0084055A">
        <w:rPr>
          <w:b/>
          <w:bCs/>
          <w:i/>
        </w:rPr>
        <w:t xml:space="preserve">con arrotondamento delle frazioni decimali di metro all'unità superiore”; </w:t>
      </w:r>
      <w:r w:rsidR="00AA2C27" w:rsidRPr="0084055A">
        <w:rPr>
          <w:b/>
          <w:bCs/>
          <w:iCs/>
        </w:rPr>
        <w:t>prima delle parole</w:t>
      </w:r>
      <w:r w:rsidR="00AA2C27" w:rsidRPr="0084055A">
        <w:rPr>
          <w:b/>
          <w:bCs/>
          <w:i/>
        </w:rPr>
        <w:t xml:space="preserve"> “La superficie dei passi carrabili” </w:t>
      </w:r>
      <w:r w:rsidR="00AA2C27" w:rsidRPr="0084055A">
        <w:rPr>
          <w:b/>
          <w:bCs/>
          <w:iCs/>
        </w:rPr>
        <w:t>aggiungere la frase “</w:t>
      </w:r>
      <w:r w:rsidR="00AA2C27" w:rsidRPr="0084055A">
        <w:rPr>
          <w:b/>
          <w:bCs/>
          <w:i/>
        </w:rPr>
        <w:t>Sono soggetti all’applicazione del canone, i passi carrabili regolarmente autorizzati ai sensi dell’articolo 22 del Codice della Strada; sono altresì considerati passi carrabili quei manufatti costituiti generalmente da listoni di pietra ed altro materiale o da appositi intervalli lasciati sui marciapiedi o, comunque, da una modifica del piano stradale avente la funzione di facilitare l’accesso dei veicoli alla proprietà privata;</w:t>
      </w:r>
      <w:r w:rsidR="0084055A" w:rsidRPr="0084055A">
        <w:rPr>
          <w:b/>
          <w:bCs/>
          <w:i/>
        </w:rPr>
        <w:t xml:space="preserve"> </w:t>
      </w:r>
      <w:r w:rsidR="0084055A" w:rsidRPr="0084055A">
        <w:rPr>
          <w:b/>
          <w:bCs/>
          <w:iCs/>
        </w:rPr>
        <w:t>dopo le parole “</w:t>
      </w:r>
      <w:r w:rsidR="0084055A" w:rsidRPr="0084055A">
        <w:rPr>
          <w:b/>
          <w:bCs/>
          <w:i/>
        </w:rPr>
        <w:t>venti annualità</w:t>
      </w:r>
      <w:r w:rsidR="0084055A" w:rsidRPr="0084055A">
        <w:rPr>
          <w:b/>
          <w:bCs/>
          <w:iCs/>
        </w:rPr>
        <w:t>” inserire la frase “</w:t>
      </w:r>
      <w:r w:rsidR="0084055A" w:rsidRPr="0084055A">
        <w:rPr>
          <w:b/>
          <w:bCs/>
          <w:i/>
        </w:rPr>
        <w:t>Non sono soggette al canone le occupazioni che in relazione alla medesima area di riferimento siano complessivamente inferiori a mezzo metro quadrato o lineare. L’arrotondamento è unico, all’interno della medesima area di riferimento, per le superfici che sarebbero autonomamente esenti in quanto non superiori, ciascuna, a mezzo mq, viceversa le superfici superiori al mezzo mq, e quindi autonomamente imponibili, devono essere arrotondate singolarmente. Per le occupazioni di spazi soprastanti il suolo pubblico, la superficie assoggettabile al canone è quella corrispondente all'area della proiezione verticale dell'oggetto sul suolo medesimo”</w:t>
      </w:r>
      <w:r w:rsidR="0084055A">
        <w:rPr>
          <w:b/>
          <w:bCs/>
          <w:i/>
        </w:rPr>
        <w:t>&gt;&gt;</w:t>
      </w:r>
    </w:p>
    <w:p w14:paraId="699FF050" w14:textId="18374F2B" w:rsidR="009B1F8D" w:rsidRDefault="0084055A" w:rsidP="0084055A">
      <w:pPr>
        <w:spacing w:before="240" w:after="240"/>
        <w:jc w:val="both"/>
        <w:rPr>
          <w:b/>
          <w:bCs/>
        </w:rPr>
      </w:pPr>
      <w:r w:rsidRPr="0084055A">
        <w:rPr>
          <w:b/>
          <w:bCs/>
        </w:rPr>
        <w:t>Modifica del comma 82</w:t>
      </w:r>
      <w:r>
        <w:rPr>
          <w:b/>
          <w:bCs/>
        </w:rPr>
        <w:t>5</w:t>
      </w:r>
      <w:r w:rsidRPr="0084055A">
        <w:rPr>
          <w:b/>
          <w:bCs/>
        </w:rPr>
        <w:t xml:space="preserve"> - Il criterio applicativo per le esposizioni pubblicitarie</w:t>
      </w:r>
    </w:p>
    <w:p w14:paraId="13E0F622" w14:textId="2D33AABC" w:rsidR="0084055A" w:rsidRDefault="0084055A" w:rsidP="0084055A">
      <w:pPr>
        <w:spacing w:before="240" w:after="240"/>
        <w:jc w:val="both"/>
      </w:pPr>
      <w:r w:rsidRPr="0084055A">
        <w:t>Comma dedicato ai criteri di calcolo del Canone in riferimento al presupposto di cui al comma 819 lettera B, ovvero quelli dedicati alle diffusioni pubblicitarie. Comma che quindi dovrebbe dettare le regole fondamentali necessarie per definire le tariffe e i criteri di calcolo per la giusta liquidazione del dovuto</w:t>
      </w:r>
      <w:r>
        <w:t>.</w:t>
      </w:r>
    </w:p>
    <w:p w14:paraId="04CDBC79" w14:textId="623D47B6" w:rsidR="0084055A" w:rsidRDefault="0084055A" w:rsidP="0084055A">
      <w:pPr>
        <w:spacing w:before="240" w:after="240"/>
        <w:jc w:val="both"/>
      </w:pPr>
      <w:r w:rsidRPr="0084055A">
        <w:t xml:space="preserve">Nella prima parte del testo vengono definiti i parametri che andranno ad incidere sul calcolo del canone, basando il calcolo sulla superficie e non stabilendo, così come per le occupazioni, un criterio per arrotondare le superfici che saranno espresse in metri quadrati. Nella seconda parte  invece si fissano i criteri e la soggettività attiva della pubblicità sui veicoli, per il trasporto pubblico (bus, taxi, </w:t>
      </w:r>
      <w:proofErr w:type="spellStart"/>
      <w:r w:rsidRPr="0084055A">
        <w:t>ecc</w:t>
      </w:r>
      <w:proofErr w:type="spellEnd"/>
      <w:r w:rsidRPr="0084055A">
        <w:t>…) e per quello privato, per conto proprio e per conto terzi. Infine si richiamano due principi mutuati dall’ICP, la figura dell’obbligato al pagamento e il limite dimensionale al di sotto del quale la pubblicità non viene attratta nel presupposto.</w:t>
      </w:r>
    </w:p>
    <w:p w14:paraId="5E797787" w14:textId="43327356" w:rsidR="006838CC" w:rsidRDefault="006838CC" w:rsidP="0084055A">
      <w:pPr>
        <w:spacing w:before="240" w:after="240"/>
        <w:jc w:val="both"/>
      </w:pPr>
      <w:r>
        <w:t>La norma per come è scritta è carente e non fornisce adeguati strumenti per permettere un giusto criterio di definizione del canone, così che gli enti territoriali hanno dovuto disciplinarli all’interno del Regolamento di gestione dell’entrata. Come ampiamente detto, sarebbe invece auspicabile un intervento di modifica normativa per garantire su tutto il territorio una armonizzazione dei criteri di calcolo.</w:t>
      </w:r>
    </w:p>
    <w:p w14:paraId="3991BB8C" w14:textId="0140FE1B" w:rsidR="004E425F" w:rsidRPr="004E425F" w:rsidRDefault="006838CC" w:rsidP="004E425F">
      <w:pPr>
        <w:spacing w:before="240" w:after="240"/>
        <w:jc w:val="both"/>
        <w:rPr>
          <w:b/>
          <w:bCs/>
          <w:i/>
        </w:rPr>
      </w:pPr>
      <w:r>
        <w:t xml:space="preserve">In questa direzione una modifica del comma 825 potrebbe prevedere: </w:t>
      </w:r>
      <w:r w:rsidRPr="004E425F">
        <w:rPr>
          <w:b/>
          <w:bCs/>
        </w:rPr>
        <w:t xml:space="preserve">&lt;&lt; </w:t>
      </w:r>
      <w:r w:rsidR="004E425F" w:rsidRPr="004E425F">
        <w:rPr>
          <w:b/>
          <w:bCs/>
        </w:rPr>
        <w:t>dopo le parole “</w:t>
      </w:r>
      <w:r w:rsidR="004E425F" w:rsidRPr="004E425F">
        <w:rPr>
          <w:b/>
          <w:bCs/>
          <w:i/>
        </w:rPr>
        <w:t>dal numero dei messaggi.”</w:t>
      </w:r>
      <w:r w:rsidR="004E425F" w:rsidRPr="004E425F">
        <w:rPr>
          <w:b/>
          <w:bCs/>
          <w:iCs/>
        </w:rPr>
        <w:t xml:space="preserve"> aggiungere le frasi “</w:t>
      </w:r>
      <w:r w:rsidR="004E425F" w:rsidRPr="004E425F">
        <w:rPr>
          <w:b/>
          <w:bCs/>
          <w:i/>
        </w:rPr>
        <w:t xml:space="preserve">E’ rilevante, ai fini della determinazione del canone, la zona del territorio comunale in cui è esposta la diffusione pubblicitaria. Le superfici inferiori ad un metro quadrato si arrotondano per eccesso al metro quadrato e le frazioni di esso, oltre il primo, a mezzo metro quadrato , indipendentemente dal tipo e dal numero dei messaggi. Quando il messaggio pubblicitario non è inserito in un mezzo pubblicitario, il canone viene commisurato alla superficie della minima figura piana geometrica in cui sono circoscritti i messaggi pubblicitari.”; </w:t>
      </w:r>
      <w:r w:rsidR="004E425F" w:rsidRPr="004E425F">
        <w:rPr>
          <w:b/>
          <w:bCs/>
          <w:iCs/>
        </w:rPr>
        <w:t>dopo le parole</w:t>
      </w:r>
      <w:r w:rsidR="004E425F" w:rsidRPr="004E425F">
        <w:rPr>
          <w:b/>
          <w:bCs/>
          <w:i/>
        </w:rPr>
        <w:t xml:space="preserve"> “la residenza o la sede”</w:t>
      </w:r>
      <w:r w:rsidR="004E425F" w:rsidRPr="004E425F">
        <w:rPr>
          <w:b/>
          <w:bCs/>
          <w:iCs/>
        </w:rPr>
        <w:t xml:space="preserve"> aggiungere “</w:t>
      </w:r>
      <w:r w:rsidR="004E425F" w:rsidRPr="004E425F">
        <w:rPr>
          <w:b/>
          <w:bCs/>
          <w:i/>
        </w:rPr>
        <w:t xml:space="preserve">Per la pubblicità realizzata su veicoli di proprietà dell’impresa o adibiti al trasporto per suo conto, che non </w:t>
      </w:r>
      <w:r w:rsidR="004E425F" w:rsidRPr="004E425F">
        <w:rPr>
          <w:b/>
          <w:bCs/>
          <w:i/>
        </w:rPr>
        <w:lastRenderedPageBreak/>
        <w:t>rientrano nell’ipotesi di esenzione, potrà essere applicata una tariffa forfetaria non legata alla superficie dedicata all’esposizione pubblicitaria. Il canone è in ogni caso dovuto dagli eventuali rimorchi, considerati come veicoli autonomi, anche se gli stessi circolano solo occasionalmente”</w:t>
      </w:r>
      <w:r w:rsidR="004E425F" w:rsidRPr="004E425F">
        <w:rPr>
          <w:b/>
          <w:bCs/>
          <w:iCs/>
        </w:rPr>
        <w:t xml:space="preserve"> dopo le parole “</w:t>
      </w:r>
      <w:r w:rsidR="004E425F" w:rsidRPr="004E425F">
        <w:rPr>
          <w:b/>
          <w:bCs/>
          <w:i/>
        </w:rPr>
        <w:t>per diffondere il messaggio</w:t>
      </w:r>
      <w:r w:rsidR="004E425F" w:rsidRPr="004E425F">
        <w:rPr>
          <w:b/>
          <w:bCs/>
          <w:iCs/>
        </w:rPr>
        <w:t>” aggiungere “</w:t>
      </w:r>
      <w:r w:rsidR="004E425F" w:rsidRPr="004E425F">
        <w:rPr>
          <w:b/>
          <w:bCs/>
          <w:i/>
        </w:rPr>
        <w:t>Il canone da applicare alla pubblicità effettuata mediante distribuzione di volantini, manifestini e/o oggetti promozionali è dovuto per ciascun giorno e per ciascuna persona o distributore fisso utilizzato per la distribuzione indipendentemente dalla quantità di materiale distribuito.  Per la pubblicità sonora il canone è applicato per ciascun punto fisso di diffusione della pubblicità, ovvero, se itinerante, per ciascun veicolo circolante nelle ore consentite.</w:t>
      </w:r>
      <w:r w:rsidR="004257A0">
        <w:rPr>
          <w:b/>
          <w:bCs/>
          <w:i/>
        </w:rPr>
        <w:t>&gt;&gt;</w:t>
      </w:r>
    </w:p>
    <w:p w14:paraId="1936D5A1" w14:textId="6BEA0D51" w:rsidR="004E425F" w:rsidRPr="004E425F" w:rsidRDefault="004E425F" w:rsidP="004E425F">
      <w:pPr>
        <w:spacing w:before="240" w:after="240"/>
        <w:jc w:val="both"/>
        <w:rPr>
          <w:iCs/>
        </w:rPr>
      </w:pPr>
      <w:r>
        <w:rPr>
          <w:iCs/>
        </w:rPr>
        <w:t xml:space="preserve">Ecco che con un comma 825 con queste modifiche e integrazioni si potrebbe avere una disciplina organica legata alle diffusioni pubblicitarie, uniformando criteri di calcolo e applicazione del canone per fattispecie pubblicitarie come la pubblicità su mezzi dell’azienda, volantinaggio, pubblicità sonora, </w:t>
      </w:r>
      <w:proofErr w:type="spellStart"/>
      <w:r>
        <w:rPr>
          <w:iCs/>
        </w:rPr>
        <w:t>ecc</w:t>
      </w:r>
      <w:proofErr w:type="spellEnd"/>
      <w:r>
        <w:rPr>
          <w:iCs/>
        </w:rPr>
        <w:t>… la cui disciplina oggi è delegata solo al Regolamento.</w:t>
      </w:r>
    </w:p>
    <w:p w14:paraId="710B334B" w14:textId="77777777" w:rsidR="00CE20D0" w:rsidRDefault="00CE20D0" w:rsidP="0084055A">
      <w:pPr>
        <w:spacing w:before="240" w:after="240"/>
        <w:jc w:val="both"/>
        <w:rPr>
          <w:b/>
          <w:bCs/>
        </w:rPr>
      </w:pPr>
    </w:p>
    <w:p w14:paraId="1179E825" w14:textId="63DA35F4" w:rsidR="006838CC" w:rsidRDefault="00CE20D0" w:rsidP="0084055A">
      <w:pPr>
        <w:spacing w:before="240" w:after="240"/>
        <w:jc w:val="both"/>
        <w:rPr>
          <w:b/>
          <w:bCs/>
        </w:rPr>
      </w:pPr>
      <w:r w:rsidRPr="0084055A">
        <w:rPr>
          <w:b/>
          <w:bCs/>
        </w:rPr>
        <w:t>Modifica del comma 8</w:t>
      </w:r>
      <w:r>
        <w:rPr>
          <w:b/>
          <w:bCs/>
        </w:rPr>
        <w:t>31</w:t>
      </w:r>
      <w:r w:rsidRPr="0084055A">
        <w:rPr>
          <w:b/>
          <w:bCs/>
        </w:rPr>
        <w:t xml:space="preserve"> </w:t>
      </w:r>
      <w:r>
        <w:rPr>
          <w:b/>
          <w:bCs/>
        </w:rPr>
        <w:t>– occupazioni permanenti con cavi e condutture</w:t>
      </w:r>
    </w:p>
    <w:p w14:paraId="76DD0D5D" w14:textId="77777777" w:rsidR="00CE20D0" w:rsidRDefault="00CE20D0" w:rsidP="00CE20D0">
      <w:pPr>
        <w:spacing w:before="240" w:after="240"/>
        <w:jc w:val="both"/>
        <w:rPr>
          <w:iCs/>
        </w:rPr>
      </w:pPr>
      <w:r w:rsidRPr="00CE20D0">
        <w:rPr>
          <w:iCs/>
        </w:rPr>
        <w:t>Il comma 831 della legge 160/2019 è stato il primo della nuova disciplina ad aver avuto un intervento</w:t>
      </w:r>
      <w:r>
        <w:rPr>
          <w:iCs/>
        </w:rPr>
        <w:t xml:space="preserve"> </w:t>
      </w:r>
      <w:r w:rsidRPr="00CE20D0">
        <w:rPr>
          <w:iCs/>
        </w:rPr>
        <w:t>emendativo e successivamente altre modifiche nel tentativo di definire compiutamente e</w:t>
      </w:r>
      <w:r>
        <w:rPr>
          <w:iCs/>
        </w:rPr>
        <w:t xml:space="preserve"> </w:t>
      </w:r>
      <w:r w:rsidRPr="00CE20D0">
        <w:rPr>
          <w:iCs/>
        </w:rPr>
        <w:t>definitivamente le diverse casistiche che rientrano nel complesso mondo dell'erogazione dei servizi</w:t>
      </w:r>
      <w:r>
        <w:rPr>
          <w:iCs/>
        </w:rPr>
        <w:t xml:space="preserve"> </w:t>
      </w:r>
      <w:r w:rsidRPr="00CE20D0">
        <w:rPr>
          <w:iCs/>
        </w:rPr>
        <w:t>di pubblica utilità.</w:t>
      </w:r>
      <w:r>
        <w:rPr>
          <w:iCs/>
        </w:rPr>
        <w:t xml:space="preserve"> </w:t>
      </w:r>
    </w:p>
    <w:p w14:paraId="6D670B1C" w14:textId="77777777" w:rsidR="00CE20D0" w:rsidRDefault="00CE20D0" w:rsidP="00CE20D0">
      <w:pPr>
        <w:spacing w:before="240" w:after="240"/>
        <w:jc w:val="both"/>
        <w:rPr>
          <w:iCs/>
        </w:rPr>
      </w:pPr>
      <w:r w:rsidRPr="00CE20D0">
        <w:rPr>
          <w:iCs/>
        </w:rPr>
        <w:t>Il legislatore in sede di conversione del decreto legge</w:t>
      </w:r>
      <w:r>
        <w:rPr>
          <w:iCs/>
        </w:rPr>
        <w:t xml:space="preserve"> </w:t>
      </w:r>
      <w:r w:rsidRPr="00CE20D0">
        <w:rPr>
          <w:iCs/>
        </w:rPr>
        <w:t>146/2021 ha voluto introdurre una norma di interpretazione autentica circa la modalità di</w:t>
      </w:r>
      <w:r>
        <w:rPr>
          <w:iCs/>
        </w:rPr>
        <w:t xml:space="preserve"> </w:t>
      </w:r>
      <w:r w:rsidRPr="00CE20D0">
        <w:rPr>
          <w:iCs/>
        </w:rPr>
        <w:t>applicazione del canone unico laddove sia prevista una separazione tra i soggetti titolari delle</w:t>
      </w:r>
      <w:r>
        <w:rPr>
          <w:iCs/>
        </w:rPr>
        <w:t xml:space="preserve"> </w:t>
      </w:r>
      <w:r w:rsidRPr="00CE20D0">
        <w:rPr>
          <w:iCs/>
        </w:rPr>
        <w:t>infrastrutture e i soggetti titolari del contratto di vendita del bene distribuito alla clientela finale</w:t>
      </w:r>
      <w:r>
        <w:rPr>
          <w:iCs/>
        </w:rPr>
        <w:t xml:space="preserve">. </w:t>
      </w:r>
    </w:p>
    <w:p w14:paraId="7C60B400" w14:textId="493DDC4D" w:rsidR="00CE20D0" w:rsidRPr="00CE20D0" w:rsidRDefault="00CE20D0" w:rsidP="00CE20D0">
      <w:pPr>
        <w:spacing w:before="240" w:after="240"/>
        <w:jc w:val="both"/>
        <w:rPr>
          <w:iCs/>
        </w:rPr>
      </w:pPr>
      <w:r>
        <w:rPr>
          <w:iCs/>
        </w:rPr>
        <w:t xml:space="preserve">Tuttavia anche questo intervento non ha risolto tutte le problematiche e in particolare quella che regola il settore della telefonia che dovrebbe essere caratterizzata, ai sensi del comma 831, dalla soggettività passiva in via mediata. </w:t>
      </w:r>
      <w:r w:rsidRPr="00CE20D0">
        <w:rPr>
          <w:iCs/>
        </w:rPr>
        <w:t>Una delle novità più rilevanti nella disciplina del canone unico è stata senza dubbio l'introduzione</w:t>
      </w:r>
      <w:r>
        <w:rPr>
          <w:iCs/>
        </w:rPr>
        <w:t xml:space="preserve"> </w:t>
      </w:r>
      <w:r w:rsidRPr="00CE20D0">
        <w:rPr>
          <w:iCs/>
        </w:rPr>
        <w:t>della soggettività passiva per via mediata delle aziende che erogano pubblici servizi utilizzando le</w:t>
      </w:r>
      <w:r>
        <w:rPr>
          <w:iCs/>
        </w:rPr>
        <w:t xml:space="preserve"> </w:t>
      </w:r>
      <w:r w:rsidRPr="00CE20D0">
        <w:rPr>
          <w:iCs/>
        </w:rPr>
        <w:t>infrastrutture di altri soggetti.</w:t>
      </w:r>
    </w:p>
    <w:p w14:paraId="24E65E23" w14:textId="2F8B3894" w:rsidR="00CE20D0" w:rsidRDefault="00CE20D0" w:rsidP="00CE20D0">
      <w:pPr>
        <w:spacing w:before="240" w:after="240"/>
        <w:jc w:val="both"/>
        <w:rPr>
          <w:iCs/>
        </w:rPr>
      </w:pPr>
      <w:r w:rsidRPr="00CE20D0">
        <w:rPr>
          <w:iCs/>
        </w:rPr>
        <w:t>Nella versione originale del comma 831 il legislatore disponeva che le società titolari di concessioni</w:t>
      </w:r>
      <w:r>
        <w:rPr>
          <w:iCs/>
        </w:rPr>
        <w:t xml:space="preserve"> </w:t>
      </w:r>
      <w:r w:rsidRPr="00CE20D0">
        <w:rPr>
          <w:iCs/>
        </w:rPr>
        <w:t>per le occupazioni di cavi e condutture del sottosuolo per l'erogazione dei pubblici servizi, dovessero</w:t>
      </w:r>
      <w:r>
        <w:rPr>
          <w:iCs/>
        </w:rPr>
        <w:t xml:space="preserve"> </w:t>
      </w:r>
      <w:r w:rsidRPr="00CE20D0">
        <w:rPr>
          <w:iCs/>
        </w:rPr>
        <w:t>versare in base al numero delle proprie utenze, sommandole a quelle delle aziende che usufruivano</w:t>
      </w:r>
      <w:r>
        <w:rPr>
          <w:iCs/>
        </w:rPr>
        <w:t xml:space="preserve"> </w:t>
      </w:r>
      <w:r w:rsidRPr="00CE20D0">
        <w:rPr>
          <w:iCs/>
        </w:rPr>
        <w:t>delle stesse infrastrutture. Avrebbero poi esercitato un legittimo diritto di rivalsa sulle stesse. Con la</w:t>
      </w:r>
      <w:r>
        <w:rPr>
          <w:iCs/>
        </w:rPr>
        <w:t xml:space="preserve"> </w:t>
      </w:r>
      <w:r w:rsidRPr="00CE20D0">
        <w:rPr>
          <w:iCs/>
        </w:rPr>
        <w:t>modifica introdotta con la legge finanziari 2021, si è venuto a creare una vera unicità, ovvero</w:t>
      </w:r>
      <w:r>
        <w:rPr>
          <w:iCs/>
        </w:rPr>
        <w:t xml:space="preserve"> </w:t>
      </w:r>
      <w:r w:rsidRPr="00CE20D0">
        <w:rPr>
          <w:iCs/>
        </w:rPr>
        <w:t>un'ipotesi di presupposto del canone che si realizza senza una diretta occupazione. È stato</w:t>
      </w:r>
      <w:r>
        <w:rPr>
          <w:iCs/>
        </w:rPr>
        <w:t xml:space="preserve"> </w:t>
      </w:r>
      <w:r w:rsidRPr="00CE20D0">
        <w:rPr>
          <w:iCs/>
        </w:rPr>
        <w:t>modificato il criterio applicativo, introducendo, al posto del diritto di rivalsa, la cosiddetta</w:t>
      </w:r>
      <w:r>
        <w:rPr>
          <w:iCs/>
        </w:rPr>
        <w:t xml:space="preserve"> </w:t>
      </w:r>
      <w:r w:rsidRPr="00CE20D0">
        <w:rPr>
          <w:iCs/>
        </w:rPr>
        <w:t>soggettività passiva in via mediata. Il Legislatore nel farlo si è chiaramente ispirato a quanto</w:t>
      </w:r>
      <w:r>
        <w:rPr>
          <w:iCs/>
        </w:rPr>
        <w:t xml:space="preserve"> </w:t>
      </w:r>
      <w:r w:rsidRPr="00CE20D0">
        <w:rPr>
          <w:iCs/>
        </w:rPr>
        <w:t>sostenne oltre 12 anni fa il ministero dell'Economia e delle Finanze nella sua circolare del 20 gennaio</w:t>
      </w:r>
      <w:r>
        <w:rPr>
          <w:iCs/>
        </w:rPr>
        <w:t xml:space="preserve"> </w:t>
      </w:r>
      <w:r w:rsidRPr="00CE20D0">
        <w:rPr>
          <w:iCs/>
        </w:rPr>
        <w:t>2009. In quella nota si chiariva come ciascuna società che fruiva a qualunque titolo delle</w:t>
      </w:r>
      <w:r>
        <w:rPr>
          <w:iCs/>
        </w:rPr>
        <w:t xml:space="preserve"> </w:t>
      </w:r>
      <w:r w:rsidRPr="00CE20D0">
        <w:rPr>
          <w:iCs/>
        </w:rPr>
        <w:t>infrastrutture, dovesse corrispondere direttamente al competente ente locale gli importi dovuti</w:t>
      </w:r>
      <w:r>
        <w:rPr>
          <w:iCs/>
        </w:rPr>
        <w:t xml:space="preserve"> </w:t>
      </w:r>
      <w:r w:rsidRPr="00CE20D0">
        <w:rPr>
          <w:iCs/>
        </w:rPr>
        <w:t>calcolati in base al numero delle proprie utenze. Questo perché, ha scritto il Ministero, «effettuano</w:t>
      </w:r>
      <w:r>
        <w:rPr>
          <w:iCs/>
        </w:rPr>
        <w:t xml:space="preserve"> </w:t>
      </w:r>
      <w:r w:rsidRPr="00CE20D0">
        <w:rPr>
          <w:iCs/>
        </w:rPr>
        <w:t>anch'essi un'occupazione di suolo pubblico, seppure in via mediata, attraverso l'utilizzazione dei cavie delle condutture di altri soggetti». Esattamente quanto ora disposto dal comma 831. Fu proprio il</w:t>
      </w:r>
      <w:r>
        <w:rPr>
          <w:iCs/>
        </w:rPr>
        <w:t xml:space="preserve"> </w:t>
      </w:r>
      <w:r w:rsidRPr="00CE20D0">
        <w:rPr>
          <w:iCs/>
        </w:rPr>
        <w:t>Mef a chiarire, nella sua circolare, come l'evoluzione tecnologica raggiunta nel settore dei servizi di</w:t>
      </w:r>
      <w:r>
        <w:rPr>
          <w:iCs/>
        </w:rPr>
        <w:t xml:space="preserve"> </w:t>
      </w:r>
      <w:r w:rsidRPr="00CE20D0">
        <w:rPr>
          <w:iCs/>
        </w:rPr>
        <w:t>pubblica utilità permettesse un utilizzo delle condutture contemporaneamente da parte di diverse</w:t>
      </w:r>
      <w:r>
        <w:rPr>
          <w:iCs/>
        </w:rPr>
        <w:t xml:space="preserve"> </w:t>
      </w:r>
      <w:r w:rsidRPr="00CE20D0">
        <w:rPr>
          <w:iCs/>
        </w:rPr>
        <w:t>società.</w:t>
      </w:r>
    </w:p>
    <w:p w14:paraId="5F233E3F" w14:textId="70781BFF" w:rsidR="00CE20D0" w:rsidRDefault="00CE20D0" w:rsidP="00CE20D0">
      <w:pPr>
        <w:spacing w:before="240" w:after="240"/>
        <w:jc w:val="both"/>
        <w:rPr>
          <w:iCs/>
        </w:rPr>
      </w:pPr>
      <w:r w:rsidRPr="00CE20D0">
        <w:rPr>
          <w:iCs/>
        </w:rPr>
        <w:lastRenderedPageBreak/>
        <w:t>Questa linea così innovativa è stata come detto recepita nel comma 831, ponendo finalmente rimedio</w:t>
      </w:r>
      <w:r>
        <w:rPr>
          <w:iCs/>
        </w:rPr>
        <w:t xml:space="preserve"> </w:t>
      </w:r>
      <w:r w:rsidRPr="00CE20D0">
        <w:rPr>
          <w:iCs/>
        </w:rPr>
        <w:t>agli effetti della liberalizzazione del mercato delle telecomunicazioni, che in passato portò invece a</w:t>
      </w:r>
      <w:r>
        <w:rPr>
          <w:iCs/>
        </w:rPr>
        <w:t xml:space="preserve"> </w:t>
      </w:r>
      <w:r w:rsidRPr="00CE20D0">
        <w:rPr>
          <w:iCs/>
        </w:rPr>
        <w:t>una forte contrazione di gettito causata dalla fuoriuscita di clienti dal gestore nazionale titolare delle</w:t>
      </w:r>
      <w:r>
        <w:rPr>
          <w:iCs/>
        </w:rPr>
        <w:t xml:space="preserve"> </w:t>
      </w:r>
      <w:r w:rsidRPr="00CE20D0">
        <w:rPr>
          <w:iCs/>
        </w:rPr>
        <w:t>concessioni di suolo pubblico.</w:t>
      </w:r>
    </w:p>
    <w:p w14:paraId="31D28CC3" w14:textId="77777777" w:rsidR="00CE20D0" w:rsidRPr="00CE20D0" w:rsidRDefault="00CE20D0" w:rsidP="00CE20D0">
      <w:pPr>
        <w:spacing w:before="240" w:after="240"/>
        <w:jc w:val="both"/>
        <w:rPr>
          <w:iCs/>
        </w:rPr>
      </w:pPr>
      <w:r>
        <w:rPr>
          <w:iCs/>
        </w:rPr>
        <w:t xml:space="preserve">Tuttavia questo sistema non sta funzionando. Le compagnie che utilizzano in via mediata le infrastrutture invocano il criterio stabilito nell’interpretazione autentica della norma, la compagnia titolare invece della concessione continua a pagare solo per i propri utenti.  </w:t>
      </w:r>
    </w:p>
    <w:p w14:paraId="326A447F" w14:textId="4CFE8EB1" w:rsidR="00CE20D0" w:rsidRDefault="00CE20D0" w:rsidP="00CE20D0">
      <w:pPr>
        <w:spacing w:before="240" w:after="240"/>
        <w:jc w:val="both"/>
        <w:rPr>
          <w:iCs/>
        </w:rPr>
      </w:pPr>
      <w:r w:rsidRPr="00CE20D0">
        <w:rPr>
          <w:iCs/>
        </w:rPr>
        <w:t xml:space="preserve">Da una parte </w:t>
      </w:r>
      <w:r w:rsidR="004257A0">
        <w:rPr>
          <w:iCs/>
        </w:rPr>
        <w:t>quindi troviamo</w:t>
      </w:r>
      <w:r>
        <w:rPr>
          <w:iCs/>
        </w:rPr>
        <w:t xml:space="preserve"> </w:t>
      </w:r>
      <w:r w:rsidRPr="00CE20D0">
        <w:rPr>
          <w:iCs/>
        </w:rPr>
        <w:t>le società proprietarie delle infrastrutture, titolari delle concessioni di suolo pubblico,</w:t>
      </w:r>
      <w:r>
        <w:rPr>
          <w:iCs/>
        </w:rPr>
        <w:t xml:space="preserve"> </w:t>
      </w:r>
      <w:r w:rsidRPr="00CE20D0">
        <w:rPr>
          <w:iCs/>
        </w:rPr>
        <w:t>che hanno pagato il canone per le proprie utenze interpretando la norma in un certo modo, dall'altra</w:t>
      </w:r>
      <w:r w:rsidR="004257A0">
        <w:rPr>
          <w:iCs/>
        </w:rPr>
        <w:t xml:space="preserve"> </w:t>
      </w:r>
      <w:r w:rsidRPr="00CE20D0">
        <w:rPr>
          <w:iCs/>
        </w:rPr>
        <w:t>le compagnie telefoniche che utilizzano in via mediata le reti della società concessionaria che</w:t>
      </w:r>
      <w:r w:rsidR="004257A0">
        <w:rPr>
          <w:iCs/>
        </w:rPr>
        <w:t xml:space="preserve"> </w:t>
      </w:r>
      <w:r w:rsidRPr="00CE20D0">
        <w:rPr>
          <w:iCs/>
        </w:rPr>
        <w:t>ritengono di esserne semplicemente escluse. A conti fatti, a farne le spese sono stati solo i Comuni,</w:t>
      </w:r>
      <w:r w:rsidR="004257A0">
        <w:rPr>
          <w:iCs/>
        </w:rPr>
        <w:t xml:space="preserve"> </w:t>
      </w:r>
      <w:r w:rsidRPr="00CE20D0">
        <w:rPr>
          <w:iCs/>
        </w:rPr>
        <w:t>che hanno visto il loro gettito più che dimezzato rispetto a qualsiasi previsione</w:t>
      </w:r>
      <w:r w:rsidR="004257A0">
        <w:rPr>
          <w:iCs/>
        </w:rPr>
        <w:t>.</w:t>
      </w:r>
    </w:p>
    <w:p w14:paraId="2BB5EF38" w14:textId="4BEE89A8" w:rsidR="004257A0" w:rsidRPr="00F2538D" w:rsidRDefault="004257A0" w:rsidP="00F2538D">
      <w:pPr>
        <w:spacing w:before="240" w:after="240"/>
        <w:jc w:val="both"/>
        <w:rPr>
          <w:iCs/>
        </w:rPr>
      </w:pPr>
      <w:r>
        <w:rPr>
          <w:iCs/>
        </w:rPr>
        <w:t>Ora abbiamo un’opportunità: modificare il comma 831 riportandolo alla sua stesura originaria mai applicata perché emendata dal comma 848 della Legge di Bilancio 2021, prima della entrata in vigore del Canone. Questo toglierebbe i dubbi sulla corretta individuazione del soggetto passivo che verrebbe individuato solo in colui che è titolare della rete. La modifica in questo senso diventerebbe: &lt;&lt; dopo le parole “</w:t>
      </w:r>
      <w:r w:rsidRPr="004257A0">
        <w:rPr>
          <w:i/>
        </w:rPr>
        <w:t>suolo pubblico”</w:t>
      </w:r>
      <w:r>
        <w:rPr>
          <w:iCs/>
        </w:rPr>
        <w:t xml:space="preserve"> eliminare la frase </w:t>
      </w:r>
      <w:r w:rsidRPr="004257A0">
        <w:rPr>
          <w:i/>
        </w:rPr>
        <w:t>“e dai soggetti che occupano il suolo pubblico, anche in invia mediata, attraverso l’utilizzo materiale delle infrastrutture del soggetto titolare della concessione</w:t>
      </w:r>
      <w:r w:rsidR="00F2538D">
        <w:rPr>
          <w:i/>
        </w:rPr>
        <w:t xml:space="preserve"> </w:t>
      </w:r>
      <w:r w:rsidR="00F2538D" w:rsidRPr="00F2538D">
        <w:rPr>
          <w:i/>
        </w:rPr>
        <w:t>sulla  base  del  numero  delle rispettive utenze moltiplicate</w:t>
      </w:r>
      <w:r w:rsidRPr="004257A0">
        <w:rPr>
          <w:i/>
        </w:rPr>
        <w:t>”</w:t>
      </w:r>
      <w:r w:rsidRPr="004257A0">
        <w:rPr>
          <w:iCs/>
        </w:rPr>
        <w:t> </w:t>
      </w:r>
      <w:r w:rsidR="00F2538D">
        <w:rPr>
          <w:iCs/>
        </w:rPr>
        <w:t xml:space="preserve">e sostituirla con la frase </w:t>
      </w:r>
      <w:r w:rsidR="00F2538D" w:rsidRPr="00F2538D">
        <w:rPr>
          <w:i/>
        </w:rPr>
        <w:t>“sulla base delle utenze complessive del soggetto stesso e di tutti gli altri soggetti che utilizzano le reti moltiplicata”</w:t>
      </w:r>
      <w:r w:rsidR="00F2538D">
        <w:rPr>
          <w:i/>
        </w:rPr>
        <w:t xml:space="preserve">; </w:t>
      </w:r>
      <w:r w:rsidR="00F2538D" w:rsidRPr="00F2538D">
        <w:rPr>
          <w:iCs/>
        </w:rPr>
        <w:t>dopo le parole</w:t>
      </w:r>
      <w:r w:rsidR="00F2538D">
        <w:rPr>
          <w:i/>
        </w:rPr>
        <w:t xml:space="preserve"> “</w:t>
      </w:r>
      <w:r w:rsidR="00F2538D" w:rsidRPr="00F2538D">
        <w:rPr>
          <w:i/>
        </w:rPr>
        <w:t>all'erogazione del servizio a rete</w:t>
      </w:r>
      <w:r w:rsidR="00F2538D">
        <w:rPr>
          <w:i/>
        </w:rPr>
        <w:t xml:space="preserve">” </w:t>
      </w:r>
      <w:r w:rsidR="00F2538D" w:rsidRPr="00F2538D">
        <w:rPr>
          <w:iCs/>
        </w:rPr>
        <w:t>inserire la frase</w:t>
      </w:r>
      <w:r w:rsidR="00F2538D">
        <w:rPr>
          <w:iCs/>
        </w:rPr>
        <w:t xml:space="preserve"> “</w:t>
      </w:r>
      <w:r w:rsidR="00F2538D" w:rsidRPr="00F2538D">
        <w:rPr>
          <w:i/>
        </w:rPr>
        <w:t>Il soggetto tenuto al pagamento del canone ha diritto di rivalsa nei confronti degli altri utilizzatori delle reti in proporzione alle relative utenze.”</w:t>
      </w:r>
    </w:p>
    <w:p w14:paraId="04DE9EB4" w14:textId="6A6D1BB2" w:rsidR="00CE20D0" w:rsidRDefault="00F2538D" w:rsidP="00CE20D0">
      <w:pPr>
        <w:spacing w:before="240" w:after="240"/>
        <w:jc w:val="both"/>
        <w:rPr>
          <w:iCs/>
        </w:rPr>
      </w:pPr>
      <w:r>
        <w:rPr>
          <w:iCs/>
        </w:rPr>
        <w:t>Con q</w:t>
      </w:r>
      <w:r w:rsidR="00842197">
        <w:rPr>
          <w:iCs/>
        </w:rPr>
        <w:t>u</w:t>
      </w:r>
      <w:r>
        <w:rPr>
          <w:iCs/>
        </w:rPr>
        <w:t xml:space="preserve">esta modifica si ritorna alla prima stesura, semplificando il percorso di liquidazione del canone e l’attività di controllo da parte degli enti interessati, che dovranno interfacciarsi con un solo soggetto per tutte le utenze attive nel proprio territorio. Sul tema dei controlli, rimane aperta la questione relativa la disponibilità dei dati sulle utenze attive suddivise per ciascun territorio comunale. Dati ad oggi ancora non nella disponibilità dei singoli enti. </w:t>
      </w:r>
    </w:p>
    <w:p w14:paraId="19C4F2D8" w14:textId="0D6F2B33" w:rsidR="00842197" w:rsidRDefault="007D0B2E" w:rsidP="00CE20D0">
      <w:pPr>
        <w:spacing w:before="240" w:after="240"/>
        <w:jc w:val="both"/>
        <w:rPr>
          <w:b/>
          <w:bCs/>
        </w:rPr>
      </w:pPr>
      <w:r w:rsidRPr="0084055A">
        <w:rPr>
          <w:b/>
          <w:bCs/>
        </w:rPr>
        <w:t>Modifica del comma 8</w:t>
      </w:r>
      <w:r>
        <w:rPr>
          <w:b/>
          <w:bCs/>
        </w:rPr>
        <w:t>33</w:t>
      </w:r>
      <w:r w:rsidRPr="0084055A">
        <w:rPr>
          <w:b/>
          <w:bCs/>
        </w:rPr>
        <w:t xml:space="preserve"> </w:t>
      </w:r>
      <w:r>
        <w:rPr>
          <w:b/>
          <w:bCs/>
        </w:rPr>
        <w:t>– esenzioni</w:t>
      </w:r>
    </w:p>
    <w:p w14:paraId="60028F4D" w14:textId="14D4B550" w:rsidR="00842197" w:rsidRDefault="007D0B2E" w:rsidP="007D0B2E">
      <w:pPr>
        <w:spacing w:before="240" w:after="240"/>
        <w:jc w:val="both"/>
      </w:pPr>
      <w:r>
        <w:t>Il comma 833 detta tutte le possibili esenzioni stabilite per Legge, rispetto alle quali i Comuni, le Province e le Città Metropolitane, non hanno alcuna possibilità di derogare. Il Legislatore con questo elenco ha quindi fissato delle esenzioni obbligatorie per diverse fattispecie di esposizioni pubblicitarie e di occupazioni di suolo pubblico. Un elenco che trae spunto dalle diverse casistiche già in vigore con i precedenti prelievi.</w:t>
      </w:r>
    </w:p>
    <w:p w14:paraId="110CBC92" w14:textId="66EFF0EC" w:rsidR="007D0B2E" w:rsidRDefault="007D0B2E" w:rsidP="007D0B2E">
      <w:pPr>
        <w:pStyle w:val="Default"/>
        <w:rPr>
          <w:rFonts w:asciiTheme="minorHAnsi" w:hAnsiTheme="minorHAnsi" w:cstheme="minorBidi"/>
          <w:color w:val="auto"/>
          <w:kern w:val="2"/>
          <w:sz w:val="22"/>
          <w:szCs w:val="22"/>
        </w:rPr>
      </w:pPr>
      <w:r w:rsidRPr="007D0B2E">
        <w:rPr>
          <w:rFonts w:asciiTheme="minorHAnsi" w:hAnsiTheme="minorHAnsi" w:cstheme="minorBidi"/>
          <w:color w:val="auto"/>
          <w:kern w:val="2"/>
          <w:sz w:val="22"/>
          <w:szCs w:val="22"/>
        </w:rPr>
        <w:t>Nell’elenco il Legislatore ha omesso la casistica che in passato era stata istituita dall’articolo 10 della Legge 5 dicembre 1986, n. 856</w:t>
      </w:r>
      <w:r>
        <w:rPr>
          <w:rFonts w:asciiTheme="minorHAnsi" w:hAnsiTheme="minorHAnsi" w:cstheme="minorBidi"/>
          <w:color w:val="auto"/>
          <w:kern w:val="2"/>
          <w:sz w:val="22"/>
          <w:szCs w:val="22"/>
        </w:rPr>
        <w:t>, ovvero quella che esonerava dal pagamento l</w:t>
      </w:r>
      <w:r w:rsidRPr="007D0B2E">
        <w:rPr>
          <w:rFonts w:asciiTheme="minorHAnsi" w:hAnsiTheme="minorHAnsi" w:cstheme="minorBidi"/>
          <w:color w:val="auto"/>
          <w:kern w:val="2"/>
          <w:sz w:val="22"/>
          <w:szCs w:val="22"/>
        </w:rPr>
        <w:t>e scritte sui container indicanti</w:t>
      </w:r>
      <w:r>
        <w:rPr>
          <w:rFonts w:asciiTheme="minorHAnsi" w:hAnsiTheme="minorHAnsi" w:cstheme="minorBidi"/>
          <w:color w:val="auto"/>
          <w:kern w:val="2"/>
          <w:sz w:val="22"/>
          <w:szCs w:val="22"/>
        </w:rPr>
        <w:t xml:space="preserve"> </w:t>
      </w:r>
      <w:r w:rsidRPr="007D0B2E">
        <w:rPr>
          <w:rFonts w:asciiTheme="minorHAnsi" w:hAnsiTheme="minorHAnsi" w:cstheme="minorBidi"/>
          <w:color w:val="auto"/>
          <w:kern w:val="2"/>
          <w:sz w:val="22"/>
          <w:szCs w:val="22"/>
        </w:rPr>
        <w:t>il nome del proprietario o dell'utilizzatore</w:t>
      </w:r>
      <w:r>
        <w:rPr>
          <w:rFonts w:asciiTheme="minorHAnsi" w:hAnsiTheme="minorHAnsi" w:cstheme="minorBidi"/>
          <w:color w:val="auto"/>
          <w:kern w:val="2"/>
          <w:sz w:val="22"/>
          <w:szCs w:val="22"/>
        </w:rPr>
        <w:t>.</w:t>
      </w:r>
    </w:p>
    <w:p w14:paraId="2B3BDA60" w14:textId="47595E28" w:rsidR="007D0B2E" w:rsidRDefault="007D0B2E" w:rsidP="007D0B2E">
      <w:pPr>
        <w:pStyle w:val="Default"/>
        <w:jc w:val="both"/>
        <w:rPr>
          <w:rFonts w:asciiTheme="minorHAnsi" w:hAnsiTheme="minorHAnsi" w:cstheme="minorBidi"/>
          <w:color w:val="auto"/>
          <w:kern w:val="2"/>
          <w:sz w:val="22"/>
          <w:szCs w:val="22"/>
        </w:rPr>
      </w:pPr>
      <w:r w:rsidRPr="007D0B2E">
        <w:rPr>
          <w:rFonts w:asciiTheme="minorHAnsi" w:hAnsiTheme="minorHAnsi" w:cstheme="minorBidi"/>
          <w:color w:val="auto"/>
          <w:kern w:val="2"/>
          <w:sz w:val="22"/>
          <w:szCs w:val="22"/>
        </w:rPr>
        <w:t>La specifica disposizione di esonero dei container non era inserita nella norma che disciplinava</w:t>
      </w:r>
      <w:r>
        <w:rPr>
          <w:rFonts w:asciiTheme="minorHAnsi" w:hAnsiTheme="minorHAnsi" w:cstheme="minorBidi"/>
          <w:color w:val="auto"/>
          <w:kern w:val="2"/>
          <w:sz w:val="22"/>
          <w:szCs w:val="22"/>
        </w:rPr>
        <w:t xml:space="preserve"> </w:t>
      </w:r>
      <w:r w:rsidRPr="007D0B2E">
        <w:rPr>
          <w:rFonts w:asciiTheme="minorHAnsi" w:hAnsiTheme="minorHAnsi" w:cstheme="minorBidi"/>
          <w:color w:val="auto"/>
          <w:kern w:val="2"/>
          <w:sz w:val="22"/>
          <w:szCs w:val="22"/>
        </w:rPr>
        <w:t>l’Imposta sulla Pubblicità, bensì era stata introdotta nell’ambito della Legge scritta per la</w:t>
      </w:r>
      <w:r>
        <w:rPr>
          <w:rFonts w:asciiTheme="minorHAnsi" w:hAnsiTheme="minorHAnsi" w:cstheme="minorBidi"/>
          <w:color w:val="auto"/>
          <w:kern w:val="2"/>
          <w:sz w:val="22"/>
          <w:szCs w:val="22"/>
        </w:rPr>
        <w:t xml:space="preserve"> </w:t>
      </w:r>
      <w:r w:rsidRPr="007D0B2E">
        <w:rPr>
          <w:rFonts w:asciiTheme="minorHAnsi" w:hAnsiTheme="minorHAnsi" w:cstheme="minorBidi"/>
          <w:color w:val="auto"/>
          <w:kern w:val="2"/>
          <w:sz w:val="22"/>
          <w:szCs w:val="22"/>
        </w:rPr>
        <w:t>ristrutturazione dei servizi di trasporto merci di linea e finalizzata a disinnescare una possibile</w:t>
      </w:r>
      <w:r>
        <w:rPr>
          <w:rFonts w:asciiTheme="minorHAnsi" w:hAnsiTheme="minorHAnsi" w:cstheme="minorBidi"/>
          <w:color w:val="auto"/>
          <w:kern w:val="2"/>
          <w:sz w:val="22"/>
          <w:szCs w:val="22"/>
        </w:rPr>
        <w:t xml:space="preserve"> </w:t>
      </w:r>
      <w:r w:rsidRPr="007D0B2E">
        <w:rPr>
          <w:rFonts w:asciiTheme="minorHAnsi" w:hAnsiTheme="minorHAnsi" w:cstheme="minorBidi"/>
          <w:color w:val="auto"/>
          <w:kern w:val="2"/>
          <w:sz w:val="22"/>
          <w:szCs w:val="22"/>
        </w:rPr>
        <w:t>soggettività passiva ai fini dell’Imposta sulla Pubblicità, per tutte le scritte presenti su questi</w:t>
      </w:r>
      <w:r>
        <w:rPr>
          <w:rFonts w:asciiTheme="minorHAnsi" w:hAnsiTheme="minorHAnsi" w:cstheme="minorBidi"/>
          <w:color w:val="auto"/>
          <w:kern w:val="2"/>
          <w:sz w:val="22"/>
          <w:szCs w:val="22"/>
        </w:rPr>
        <w:t xml:space="preserve"> </w:t>
      </w:r>
      <w:r w:rsidRPr="007D0B2E">
        <w:rPr>
          <w:rFonts w:asciiTheme="minorHAnsi" w:hAnsiTheme="minorHAnsi" w:cstheme="minorBidi"/>
          <w:color w:val="auto"/>
          <w:kern w:val="2"/>
          <w:sz w:val="22"/>
          <w:szCs w:val="22"/>
        </w:rPr>
        <w:t>contenitori che viaggiano in mare, sulle strade e lungo le ferrovie del nostro paese. Container</w:t>
      </w:r>
      <w:r>
        <w:rPr>
          <w:rFonts w:asciiTheme="minorHAnsi" w:hAnsiTheme="minorHAnsi" w:cstheme="minorBidi"/>
          <w:color w:val="auto"/>
          <w:kern w:val="2"/>
          <w:sz w:val="22"/>
          <w:szCs w:val="22"/>
        </w:rPr>
        <w:t xml:space="preserve"> </w:t>
      </w:r>
      <w:r w:rsidRPr="007D0B2E">
        <w:rPr>
          <w:rFonts w:asciiTheme="minorHAnsi" w:hAnsiTheme="minorHAnsi" w:cstheme="minorBidi"/>
          <w:color w:val="auto"/>
          <w:kern w:val="2"/>
          <w:sz w:val="22"/>
          <w:szCs w:val="22"/>
        </w:rPr>
        <w:t>destinati a stazionare, impilati uno sull’altro, anche in depositi nelle zone retro portuali, spesso</w:t>
      </w:r>
      <w:r>
        <w:rPr>
          <w:rFonts w:asciiTheme="minorHAnsi" w:hAnsiTheme="minorHAnsi" w:cstheme="minorBidi"/>
          <w:color w:val="auto"/>
          <w:kern w:val="2"/>
          <w:sz w:val="22"/>
          <w:szCs w:val="22"/>
        </w:rPr>
        <w:t xml:space="preserve"> </w:t>
      </w:r>
      <w:r w:rsidRPr="007D0B2E">
        <w:rPr>
          <w:rFonts w:asciiTheme="minorHAnsi" w:hAnsiTheme="minorHAnsi" w:cstheme="minorBidi"/>
          <w:color w:val="auto"/>
          <w:kern w:val="2"/>
          <w:sz w:val="22"/>
          <w:szCs w:val="22"/>
        </w:rPr>
        <w:t>ben visibili dalle strade di circolazione pubblica, urbana ed extra urbana e in generale da luoghi</w:t>
      </w:r>
      <w:r>
        <w:rPr>
          <w:rFonts w:asciiTheme="minorHAnsi" w:hAnsiTheme="minorHAnsi" w:cstheme="minorBidi"/>
          <w:color w:val="auto"/>
          <w:kern w:val="2"/>
          <w:sz w:val="22"/>
          <w:szCs w:val="22"/>
        </w:rPr>
        <w:t xml:space="preserve"> </w:t>
      </w:r>
      <w:r w:rsidRPr="007D0B2E">
        <w:rPr>
          <w:rFonts w:asciiTheme="minorHAnsi" w:hAnsiTheme="minorHAnsi" w:cstheme="minorBidi"/>
          <w:color w:val="auto"/>
          <w:kern w:val="2"/>
          <w:sz w:val="22"/>
          <w:szCs w:val="22"/>
        </w:rPr>
        <w:t>pubblici o visibili da luoghi pubblici, con un innegabile ed evidente richiamo pubblicitario per le</w:t>
      </w:r>
      <w:r>
        <w:rPr>
          <w:rFonts w:asciiTheme="minorHAnsi" w:hAnsiTheme="minorHAnsi" w:cstheme="minorBidi"/>
          <w:color w:val="auto"/>
          <w:kern w:val="2"/>
          <w:sz w:val="22"/>
          <w:szCs w:val="22"/>
        </w:rPr>
        <w:t xml:space="preserve"> </w:t>
      </w:r>
      <w:r w:rsidRPr="007D0B2E">
        <w:rPr>
          <w:rFonts w:asciiTheme="minorHAnsi" w:hAnsiTheme="minorHAnsi" w:cstheme="minorBidi"/>
          <w:color w:val="auto"/>
          <w:kern w:val="2"/>
          <w:sz w:val="22"/>
          <w:szCs w:val="22"/>
        </w:rPr>
        <w:t>compagnie specializzate nel trasporto merci</w:t>
      </w:r>
      <w:r>
        <w:rPr>
          <w:rFonts w:asciiTheme="minorHAnsi" w:hAnsiTheme="minorHAnsi" w:cstheme="minorBidi"/>
          <w:color w:val="auto"/>
          <w:kern w:val="2"/>
          <w:sz w:val="22"/>
          <w:szCs w:val="22"/>
        </w:rPr>
        <w:t>.</w:t>
      </w:r>
    </w:p>
    <w:p w14:paraId="58D23837" w14:textId="77777777" w:rsidR="007D0B2E" w:rsidRPr="007D0B2E" w:rsidRDefault="007D0B2E" w:rsidP="007D0B2E">
      <w:pPr>
        <w:pStyle w:val="Default"/>
        <w:jc w:val="both"/>
        <w:rPr>
          <w:rFonts w:asciiTheme="minorHAnsi" w:hAnsiTheme="minorHAnsi" w:cstheme="minorBidi"/>
          <w:color w:val="auto"/>
          <w:kern w:val="2"/>
          <w:sz w:val="22"/>
          <w:szCs w:val="22"/>
        </w:rPr>
      </w:pPr>
      <w:r w:rsidRPr="007D0B2E">
        <w:rPr>
          <w:rFonts w:asciiTheme="minorHAnsi" w:hAnsiTheme="minorHAnsi" w:cstheme="minorBidi"/>
          <w:color w:val="auto"/>
          <w:kern w:val="2"/>
          <w:sz w:val="22"/>
          <w:szCs w:val="22"/>
        </w:rPr>
        <w:t>Facile ipotizzare che si sia trattato di una svista, probabilmente la circostanza che questa</w:t>
      </w:r>
    </w:p>
    <w:p w14:paraId="616B9376" w14:textId="24DBC17A" w:rsidR="007D0B2E" w:rsidRDefault="007D0B2E" w:rsidP="007D0B2E">
      <w:pPr>
        <w:pStyle w:val="Default"/>
        <w:jc w:val="both"/>
        <w:rPr>
          <w:rFonts w:asciiTheme="minorHAnsi" w:hAnsiTheme="minorHAnsi" w:cstheme="minorBidi"/>
          <w:color w:val="auto"/>
          <w:kern w:val="2"/>
          <w:sz w:val="22"/>
          <w:szCs w:val="22"/>
        </w:rPr>
      </w:pPr>
      <w:r w:rsidRPr="007D0B2E">
        <w:rPr>
          <w:rFonts w:asciiTheme="minorHAnsi" w:hAnsiTheme="minorHAnsi" w:cstheme="minorBidi"/>
          <w:color w:val="auto"/>
          <w:kern w:val="2"/>
          <w:sz w:val="22"/>
          <w:szCs w:val="22"/>
        </w:rPr>
        <w:lastRenderedPageBreak/>
        <w:t>esenzione non fosse inserita nel testo del D.lgs. 507/93 ma in diversa Legge, ormai lontana nel</w:t>
      </w:r>
      <w:r>
        <w:rPr>
          <w:rFonts w:asciiTheme="minorHAnsi" w:hAnsiTheme="minorHAnsi" w:cstheme="minorBidi"/>
          <w:color w:val="auto"/>
          <w:kern w:val="2"/>
          <w:sz w:val="22"/>
          <w:szCs w:val="22"/>
        </w:rPr>
        <w:t xml:space="preserve"> </w:t>
      </w:r>
      <w:r w:rsidRPr="007D0B2E">
        <w:rPr>
          <w:rFonts w:asciiTheme="minorHAnsi" w:hAnsiTheme="minorHAnsi" w:cstheme="minorBidi"/>
          <w:color w:val="auto"/>
          <w:kern w:val="2"/>
          <w:sz w:val="22"/>
          <w:szCs w:val="22"/>
        </w:rPr>
        <w:t>tempo e afferente a materia diversa, ha fatto sì che il Legislatore non ne abbia tenuto conto nella</w:t>
      </w:r>
      <w:r>
        <w:rPr>
          <w:rFonts w:asciiTheme="minorHAnsi" w:hAnsiTheme="minorHAnsi" w:cstheme="minorBidi"/>
          <w:color w:val="auto"/>
          <w:kern w:val="2"/>
          <w:sz w:val="22"/>
          <w:szCs w:val="22"/>
        </w:rPr>
        <w:t xml:space="preserve"> </w:t>
      </w:r>
      <w:r w:rsidRPr="007D0B2E">
        <w:rPr>
          <w:rFonts w:asciiTheme="minorHAnsi" w:hAnsiTheme="minorHAnsi" w:cstheme="minorBidi"/>
          <w:color w:val="auto"/>
          <w:kern w:val="2"/>
          <w:sz w:val="22"/>
          <w:szCs w:val="22"/>
        </w:rPr>
        <w:t>redazione del comma 833.</w:t>
      </w:r>
    </w:p>
    <w:p w14:paraId="3BB8FBA7" w14:textId="77777777" w:rsidR="007D0B2E" w:rsidRDefault="007D0B2E" w:rsidP="007D0B2E">
      <w:pPr>
        <w:pStyle w:val="Default"/>
        <w:jc w:val="both"/>
        <w:rPr>
          <w:rFonts w:asciiTheme="minorHAnsi" w:hAnsiTheme="minorHAnsi" w:cstheme="minorBidi"/>
          <w:color w:val="auto"/>
          <w:kern w:val="2"/>
          <w:sz w:val="22"/>
          <w:szCs w:val="22"/>
        </w:rPr>
      </w:pPr>
    </w:p>
    <w:p w14:paraId="50FF67C9" w14:textId="1FB3C298" w:rsidR="007D0B2E" w:rsidRDefault="007D0B2E" w:rsidP="007D0B2E">
      <w:pPr>
        <w:pStyle w:val="Default"/>
        <w:jc w:val="both"/>
        <w:rPr>
          <w:rFonts w:asciiTheme="minorHAnsi" w:hAnsiTheme="minorHAnsi" w:cstheme="minorBidi"/>
          <w:b/>
          <w:bCs/>
          <w:color w:val="auto"/>
          <w:kern w:val="2"/>
          <w:sz w:val="22"/>
          <w:szCs w:val="22"/>
        </w:rPr>
      </w:pPr>
      <w:r>
        <w:rPr>
          <w:rFonts w:asciiTheme="minorHAnsi" w:hAnsiTheme="minorHAnsi" w:cstheme="minorBidi"/>
          <w:color w:val="auto"/>
          <w:kern w:val="2"/>
          <w:sz w:val="22"/>
          <w:szCs w:val="22"/>
        </w:rPr>
        <w:t>La modifica del comma 833 potrebbe quindi pre</w:t>
      </w:r>
      <w:r w:rsidR="0097114C">
        <w:rPr>
          <w:rFonts w:asciiTheme="minorHAnsi" w:hAnsiTheme="minorHAnsi" w:cstheme="minorBidi"/>
          <w:color w:val="auto"/>
          <w:kern w:val="2"/>
          <w:sz w:val="22"/>
          <w:szCs w:val="22"/>
        </w:rPr>
        <w:t>v</w:t>
      </w:r>
      <w:r>
        <w:rPr>
          <w:rFonts w:asciiTheme="minorHAnsi" w:hAnsiTheme="minorHAnsi" w:cstheme="minorBidi"/>
          <w:color w:val="auto"/>
          <w:kern w:val="2"/>
          <w:sz w:val="22"/>
          <w:szCs w:val="22"/>
        </w:rPr>
        <w:t xml:space="preserve">edere di inserire una nuova lettera: </w:t>
      </w:r>
      <w:r w:rsidRPr="003B056F">
        <w:rPr>
          <w:rFonts w:asciiTheme="minorHAnsi" w:hAnsiTheme="minorHAnsi" w:cstheme="minorBidi"/>
          <w:b/>
          <w:bCs/>
          <w:color w:val="auto"/>
          <w:kern w:val="2"/>
          <w:sz w:val="22"/>
          <w:szCs w:val="22"/>
        </w:rPr>
        <w:t>&lt;&lt; dopo la lettera R si inserisce: “</w:t>
      </w:r>
      <w:r w:rsidRPr="003B056F">
        <w:rPr>
          <w:rFonts w:asciiTheme="minorHAnsi" w:hAnsiTheme="minorHAnsi" w:cstheme="minorBidi"/>
          <w:b/>
          <w:bCs/>
          <w:i/>
          <w:iCs/>
          <w:color w:val="auto"/>
          <w:kern w:val="2"/>
          <w:sz w:val="22"/>
          <w:szCs w:val="22"/>
        </w:rPr>
        <w:t>s) le scritte sui container indicanti il nome del proprietario o dell'utilizzatore</w:t>
      </w:r>
      <w:r w:rsidRPr="003B056F">
        <w:rPr>
          <w:rFonts w:asciiTheme="minorHAnsi" w:hAnsiTheme="minorHAnsi" w:cstheme="minorBidi"/>
          <w:b/>
          <w:bCs/>
          <w:color w:val="auto"/>
          <w:kern w:val="2"/>
          <w:sz w:val="22"/>
          <w:szCs w:val="22"/>
        </w:rPr>
        <w:t>”&gt;&gt;</w:t>
      </w:r>
    </w:p>
    <w:p w14:paraId="4D8FD8CD" w14:textId="77777777" w:rsidR="003B056F" w:rsidRDefault="003B056F" w:rsidP="007D0B2E">
      <w:pPr>
        <w:pStyle w:val="Default"/>
        <w:jc w:val="both"/>
        <w:rPr>
          <w:rFonts w:asciiTheme="minorHAnsi" w:hAnsiTheme="minorHAnsi" w:cstheme="minorBidi"/>
          <w:b/>
          <w:bCs/>
          <w:color w:val="auto"/>
          <w:kern w:val="2"/>
          <w:sz w:val="22"/>
          <w:szCs w:val="22"/>
        </w:rPr>
      </w:pPr>
    </w:p>
    <w:p w14:paraId="31D9328C" w14:textId="4214D1F1" w:rsidR="003B056F" w:rsidRDefault="003B056F" w:rsidP="007D0B2E">
      <w:pPr>
        <w:pStyle w:val="Default"/>
        <w:jc w:val="both"/>
        <w:rPr>
          <w:rFonts w:asciiTheme="minorHAnsi" w:hAnsiTheme="minorHAnsi" w:cstheme="minorBidi"/>
          <w:b/>
          <w:bCs/>
          <w:color w:val="auto"/>
          <w:kern w:val="2"/>
          <w:sz w:val="22"/>
          <w:szCs w:val="22"/>
        </w:rPr>
      </w:pPr>
      <w:r w:rsidRPr="003B056F">
        <w:rPr>
          <w:rFonts w:asciiTheme="minorHAnsi" w:hAnsiTheme="minorHAnsi" w:cstheme="minorBidi"/>
          <w:b/>
          <w:bCs/>
          <w:color w:val="auto"/>
          <w:kern w:val="2"/>
          <w:sz w:val="22"/>
          <w:szCs w:val="22"/>
        </w:rPr>
        <w:t>Modifica del comma 83</w:t>
      </w:r>
      <w:r>
        <w:rPr>
          <w:rFonts w:asciiTheme="minorHAnsi" w:hAnsiTheme="minorHAnsi" w:cstheme="minorBidi"/>
          <w:b/>
          <w:bCs/>
          <w:color w:val="auto"/>
          <w:kern w:val="2"/>
          <w:sz w:val="22"/>
          <w:szCs w:val="22"/>
        </w:rPr>
        <w:t>4</w:t>
      </w:r>
      <w:r w:rsidRPr="003B056F">
        <w:rPr>
          <w:rFonts w:asciiTheme="minorHAnsi" w:hAnsiTheme="minorHAnsi" w:cstheme="minorBidi"/>
          <w:b/>
          <w:bCs/>
          <w:color w:val="auto"/>
          <w:kern w:val="2"/>
          <w:sz w:val="22"/>
          <w:szCs w:val="22"/>
        </w:rPr>
        <w:t xml:space="preserve"> –</w:t>
      </w:r>
      <w:r>
        <w:rPr>
          <w:rFonts w:asciiTheme="minorHAnsi" w:hAnsiTheme="minorHAnsi" w:cstheme="minorBidi"/>
          <w:b/>
          <w:bCs/>
          <w:color w:val="auto"/>
          <w:kern w:val="2"/>
          <w:sz w:val="22"/>
          <w:szCs w:val="22"/>
        </w:rPr>
        <w:t xml:space="preserve"> il pagamento una tantum</w:t>
      </w:r>
    </w:p>
    <w:p w14:paraId="70E3FA1C" w14:textId="77777777" w:rsidR="003B056F" w:rsidRDefault="003B056F" w:rsidP="007D0B2E">
      <w:pPr>
        <w:pStyle w:val="Default"/>
        <w:jc w:val="both"/>
        <w:rPr>
          <w:rFonts w:asciiTheme="minorHAnsi" w:hAnsiTheme="minorHAnsi" w:cstheme="minorBidi"/>
          <w:b/>
          <w:bCs/>
          <w:color w:val="auto"/>
          <w:kern w:val="2"/>
          <w:sz w:val="22"/>
          <w:szCs w:val="22"/>
        </w:rPr>
      </w:pPr>
    </w:p>
    <w:p w14:paraId="12F3E95B" w14:textId="77777777" w:rsidR="0097114C" w:rsidRPr="0097114C" w:rsidRDefault="0097114C" w:rsidP="0097114C">
      <w:pPr>
        <w:spacing w:before="240" w:after="240"/>
        <w:jc w:val="both"/>
        <w:rPr>
          <w:iCs/>
        </w:rPr>
      </w:pPr>
      <w:r w:rsidRPr="0097114C">
        <w:rPr>
          <w:iCs/>
        </w:rPr>
        <w:t>Nella disciplina del Canone Unico Patrimoniale è stata introdotta la modalità di pagamento una</w:t>
      </w:r>
      <w:r w:rsidRPr="0097114C">
        <w:rPr>
          <w:iCs/>
        </w:rPr>
        <w:t xml:space="preserve"> </w:t>
      </w:r>
      <w:r w:rsidRPr="0097114C">
        <w:rPr>
          <w:iCs/>
        </w:rPr>
        <w:t>tantum, ossia la possibilità di versare in unica soluzione il Canone relativo ad una occupazione,</w:t>
      </w:r>
      <w:r w:rsidRPr="0097114C">
        <w:rPr>
          <w:iCs/>
        </w:rPr>
        <w:t xml:space="preserve"> </w:t>
      </w:r>
      <w:r w:rsidRPr="0097114C">
        <w:rPr>
          <w:iCs/>
        </w:rPr>
        <w:t>affrancandosi dal pagamento annuale previsto ordinariamente per le occupazioni di natura</w:t>
      </w:r>
      <w:r w:rsidRPr="0097114C">
        <w:rPr>
          <w:iCs/>
        </w:rPr>
        <w:t xml:space="preserve"> </w:t>
      </w:r>
      <w:r w:rsidRPr="0097114C">
        <w:rPr>
          <w:iCs/>
        </w:rPr>
        <w:t>permanente.</w:t>
      </w:r>
      <w:r w:rsidRPr="0097114C">
        <w:rPr>
          <w:iCs/>
        </w:rPr>
        <w:t xml:space="preserve"> </w:t>
      </w:r>
    </w:p>
    <w:p w14:paraId="593DC9BC" w14:textId="77777777" w:rsidR="0097114C" w:rsidRPr="0097114C" w:rsidRDefault="0097114C" w:rsidP="0097114C">
      <w:pPr>
        <w:spacing w:before="240" w:after="240"/>
        <w:jc w:val="both"/>
        <w:rPr>
          <w:iCs/>
        </w:rPr>
      </w:pPr>
      <w:r w:rsidRPr="0097114C">
        <w:rPr>
          <w:iCs/>
        </w:rPr>
        <w:t>La scelta nasce evidentemente dalla natura di queste occupazioni, destinate a permanere su suolo</w:t>
      </w:r>
      <w:r w:rsidRPr="0097114C">
        <w:rPr>
          <w:iCs/>
        </w:rPr>
        <w:t xml:space="preserve"> </w:t>
      </w:r>
      <w:r w:rsidRPr="0097114C">
        <w:rPr>
          <w:iCs/>
        </w:rPr>
        <w:t>pubblico senza limiti temporali, strutture fisiche la cui presenza si ritiene non debba venire meno,</w:t>
      </w:r>
      <w:r w:rsidRPr="0097114C">
        <w:rPr>
          <w:iCs/>
        </w:rPr>
        <w:t xml:space="preserve"> </w:t>
      </w:r>
      <w:r w:rsidRPr="0097114C">
        <w:rPr>
          <w:iCs/>
        </w:rPr>
        <w:t>diventando parte del contesto urbano in cui sono inserite.</w:t>
      </w:r>
      <w:r w:rsidRPr="0097114C">
        <w:rPr>
          <w:iCs/>
        </w:rPr>
        <w:t xml:space="preserve"> </w:t>
      </w:r>
    </w:p>
    <w:p w14:paraId="3A81EEB3" w14:textId="68C1433F" w:rsidR="0097114C" w:rsidRPr="0097114C" w:rsidRDefault="0097114C" w:rsidP="0097114C">
      <w:pPr>
        <w:spacing w:before="240" w:after="240"/>
        <w:jc w:val="both"/>
        <w:rPr>
          <w:iCs/>
        </w:rPr>
      </w:pPr>
      <w:r w:rsidRPr="0097114C">
        <w:rPr>
          <w:iCs/>
        </w:rPr>
        <w:t>Partendo da questa valutazione, e considerando le diverse fattispecie che potenzialmente</w:t>
      </w:r>
      <w:r w:rsidRPr="0097114C">
        <w:rPr>
          <w:iCs/>
        </w:rPr>
        <w:t xml:space="preserve"> </w:t>
      </w:r>
      <w:r w:rsidRPr="0097114C">
        <w:rPr>
          <w:iCs/>
        </w:rPr>
        <w:t>possiedono queste caratteristiche, si può riconsiderare la portata del comma 834. In particolare se</w:t>
      </w:r>
      <w:r w:rsidRPr="0097114C">
        <w:rPr>
          <w:iCs/>
        </w:rPr>
        <w:t xml:space="preserve"> </w:t>
      </w:r>
      <w:r w:rsidRPr="0097114C">
        <w:rPr>
          <w:iCs/>
        </w:rPr>
        <w:t>si considerano tutti quegli elementi strutturali che assolvono a funzioni statiche, strutturali e più</w:t>
      </w:r>
      <w:r w:rsidRPr="0097114C">
        <w:rPr>
          <w:iCs/>
        </w:rPr>
        <w:t xml:space="preserve"> </w:t>
      </w:r>
      <w:r w:rsidRPr="0097114C">
        <w:rPr>
          <w:iCs/>
        </w:rPr>
        <w:t>in generale di esclusiva funzione tecnica in favore di un edificio, che possono legittimamente</w:t>
      </w:r>
      <w:r w:rsidRPr="0097114C">
        <w:rPr>
          <w:iCs/>
        </w:rPr>
        <w:t xml:space="preserve"> </w:t>
      </w:r>
      <w:r w:rsidRPr="0097114C">
        <w:rPr>
          <w:iCs/>
        </w:rPr>
        <w:t>aspirare ad essere valutate come occupazioni da trattare una tantum.</w:t>
      </w:r>
    </w:p>
    <w:p w14:paraId="797C8CF3" w14:textId="4B67D0C7" w:rsidR="0097114C" w:rsidRDefault="0097114C" w:rsidP="0097114C">
      <w:pPr>
        <w:spacing w:before="240" w:after="240"/>
        <w:jc w:val="both"/>
        <w:rPr>
          <w:iCs/>
        </w:rPr>
      </w:pPr>
      <w:r w:rsidRPr="0097114C">
        <w:rPr>
          <w:iCs/>
        </w:rPr>
        <w:t>In quest’ottica la disposizione del comma 834, che inizialmente era sembrata dagli addetti ai</w:t>
      </w:r>
      <w:r w:rsidRPr="0097114C">
        <w:rPr>
          <w:iCs/>
        </w:rPr>
        <w:t xml:space="preserve"> </w:t>
      </w:r>
      <w:r w:rsidRPr="0097114C">
        <w:rPr>
          <w:iCs/>
        </w:rPr>
        <w:t>lavori poco significativa nella parte in cui richiamava come fattispecie solo le intercapedini, può</w:t>
      </w:r>
      <w:r w:rsidRPr="0097114C">
        <w:rPr>
          <w:iCs/>
        </w:rPr>
        <w:t xml:space="preserve"> </w:t>
      </w:r>
      <w:r w:rsidRPr="0097114C">
        <w:rPr>
          <w:iCs/>
        </w:rPr>
        <w:t>assumere una sua importanza per gestire tutte le situazioni di occupazioni destinate a rimanere</w:t>
      </w:r>
      <w:r w:rsidRPr="0097114C">
        <w:rPr>
          <w:iCs/>
        </w:rPr>
        <w:t xml:space="preserve"> </w:t>
      </w:r>
      <w:r w:rsidRPr="0097114C">
        <w:rPr>
          <w:iCs/>
        </w:rPr>
        <w:t>per a tempo indefinito su suolo pubblico.</w:t>
      </w:r>
    </w:p>
    <w:p w14:paraId="519B275F" w14:textId="3D43EEAC" w:rsidR="0097114C" w:rsidRPr="0097114C" w:rsidRDefault="0097114C" w:rsidP="0097114C">
      <w:pPr>
        <w:spacing w:before="240" w:after="240"/>
        <w:jc w:val="both"/>
        <w:rPr>
          <w:i/>
          <w:iCs/>
        </w:rPr>
      </w:pPr>
      <w:r>
        <w:t xml:space="preserve">La </w:t>
      </w:r>
      <w:r>
        <w:t xml:space="preserve">proposta di </w:t>
      </w:r>
      <w:r>
        <w:t>modifica del comma 83</w:t>
      </w:r>
      <w:r>
        <w:t>4</w:t>
      </w:r>
      <w:r>
        <w:t xml:space="preserve"> potrebbe quindi prevedere di inserire</w:t>
      </w:r>
      <w:r>
        <w:t xml:space="preserve"> la seguente frase:</w:t>
      </w:r>
      <w:r w:rsidRPr="0097114C">
        <w:rPr>
          <w:b/>
          <w:bCs/>
        </w:rPr>
        <w:t xml:space="preserve"> &lt;&lt; dopo la parola “</w:t>
      </w:r>
      <w:r w:rsidRPr="0097114C">
        <w:rPr>
          <w:b/>
          <w:bCs/>
          <w:i/>
          <w:iCs/>
        </w:rPr>
        <w:t>intercapedini</w:t>
      </w:r>
      <w:r w:rsidRPr="0097114C">
        <w:rPr>
          <w:b/>
          <w:bCs/>
        </w:rPr>
        <w:t>” aggiungere “</w:t>
      </w:r>
      <w:r w:rsidRPr="0097114C">
        <w:rPr>
          <w:b/>
          <w:bCs/>
          <w:i/>
          <w:iCs/>
        </w:rPr>
        <w:t xml:space="preserve">e per le occupazioni realizzate con tiranti per ancoraggio, cappotti termici e altri elementi strutturali che hanno esclusiva funzione tecnica in favore di un edificio&gt;&gt; </w:t>
      </w:r>
    </w:p>
    <w:p w14:paraId="7129C5E3" w14:textId="026132FC" w:rsidR="0097114C" w:rsidRDefault="00E17606" w:rsidP="0097114C">
      <w:pPr>
        <w:spacing w:before="240" w:after="240"/>
        <w:jc w:val="both"/>
        <w:rPr>
          <w:iCs/>
        </w:rPr>
      </w:pPr>
      <w:r>
        <w:rPr>
          <w:iCs/>
        </w:rPr>
        <w:t>In conclusione, con il presente approfondimento, abbiamo provato, a portare dei correttivi alla disciplina del CUP cercando di individuare dei temi per i quali sarebbe oggettivamente importante garantire una uniformità di applicazione su tutto il territorio nazionale, a vantaggio degli enti impositori e dei contribuenti chiamati a versare questa nuova entrata patrimoniale, oggi ancora lontana dall’essere perfezionata.</w:t>
      </w:r>
    </w:p>
    <w:p w14:paraId="131DE31B" w14:textId="77777777" w:rsidR="00E17606" w:rsidRPr="0097114C" w:rsidRDefault="00E17606" w:rsidP="0097114C">
      <w:pPr>
        <w:spacing w:before="240" w:after="240"/>
        <w:jc w:val="both"/>
        <w:rPr>
          <w:iCs/>
        </w:rPr>
      </w:pPr>
    </w:p>
    <w:sectPr w:rsidR="00E17606" w:rsidRPr="0097114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le Serif Text">
    <w:altName w:val="Sole Serif Text"/>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D96B53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82185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235"/>
    <w:rsid w:val="00011D63"/>
    <w:rsid w:val="00060149"/>
    <w:rsid w:val="00063280"/>
    <w:rsid w:val="00085BCB"/>
    <w:rsid w:val="000B110F"/>
    <w:rsid w:val="000C3A6C"/>
    <w:rsid w:val="00105CA7"/>
    <w:rsid w:val="0013116B"/>
    <w:rsid w:val="00146429"/>
    <w:rsid w:val="001817D0"/>
    <w:rsid w:val="001A07EA"/>
    <w:rsid w:val="00205B39"/>
    <w:rsid w:val="002A5562"/>
    <w:rsid w:val="002C0183"/>
    <w:rsid w:val="00332356"/>
    <w:rsid w:val="00366250"/>
    <w:rsid w:val="003B056F"/>
    <w:rsid w:val="003C3227"/>
    <w:rsid w:val="003C44EE"/>
    <w:rsid w:val="004257A0"/>
    <w:rsid w:val="00472A22"/>
    <w:rsid w:val="00476DED"/>
    <w:rsid w:val="004A753D"/>
    <w:rsid w:val="004C35CE"/>
    <w:rsid w:val="004E425F"/>
    <w:rsid w:val="00547938"/>
    <w:rsid w:val="00560A95"/>
    <w:rsid w:val="005C5942"/>
    <w:rsid w:val="005F20B3"/>
    <w:rsid w:val="005F7C52"/>
    <w:rsid w:val="00621C14"/>
    <w:rsid w:val="00625A06"/>
    <w:rsid w:val="0062619B"/>
    <w:rsid w:val="00650B27"/>
    <w:rsid w:val="006838CC"/>
    <w:rsid w:val="006C0C6E"/>
    <w:rsid w:val="006C329E"/>
    <w:rsid w:val="00703996"/>
    <w:rsid w:val="00751F92"/>
    <w:rsid w:val="00765B91"/>
    <w:rsid w:val="007B1D34"/>
    <w:rsid w:val="007D0B2E"/>
    <w:rsid w:val="007E54B5"/>
    <w:rsid w:val="00816F43"/>
    <w:rsid w:val="0084055A"/>
    <w:rsid w:val="00842197"/>
    <w:rsid w:val="00865BCF"/>
    <w:rsid w:val="00886058"/>
    <w:rsid w:val="008D25DD"/>
    <w:rsid w:val="008F1E7C"/>
    <w:rsid w:val="008F2D22"/>
    <w:rsid w:val="00934E5B"/>
    <w:rsid w:val="0097114C"/>
    <w:rsid w:val="009A1C50"/>
    <w:rsid w:val="009B1F8D"/>
    <w:rsid w:val="00A22251"/>
    <w:rsid w:val="00A32FA0"/>
    <w:rsid w:val="00A442D2"/>
    <w:rsid w:val="00A4532F"/>
    <w:rsid w:val="00A466C6"/>
    <w:rsid w:val="00A62B01"/>
    <w:rsid w:val="00A91243"/>
    <w:rsid w:val="00AA2C27"/>
    <w:rsid w:val="00B52660"/>
    <w:rsid w:val="00B76F16"/>
    <w:rsid w:val="00B93754"/>
    <w:rsid w:val="00C3345A"/>
    <w:rsid w:val="00C4143F"/>
    <w:rsid w:val="00C6207D"/>
    <w:rsid w:val="00C86235"/>
    <w:rsid w:val="00CE20D0"/>
    <w:rsid w:val="00D80C8B"/>
    <w:rsid w:val="00D8470B"/>
    <w:rsid w:val="00DC634A"/>
    <w:rsid w:val="00E17606"/>
    <w:rsid w:val="00E21F8C"/>
    <w:rsid w:val="00E70E43"/>
    <w:rsid w:val="00E74A45"/>
    <w:rsid w:val="00E83029"/>
    <w:rsid w:val="00EB527D"/>
    <w:rsid w:val="00EE06D7"/>
    <w:rsid w:val="00F237B7"/>
    <w:rsid w:val="00F2538D"/>
    <w:rsid w:val="00F51FA0"/>
    <w:rsid w:val="00FC18A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E84A5"/>
  <w15:chartTrackingRefBased/>
  <w15:docId w15:val="{F44C774C-F2C5-4272-9DED-0331FA618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Default">
    <w:name w:val="Default"/>
    <w:rsid w:val="00E83029"/>
    <w:pPr>
      <w:autoSpaceDE w:val="0"/>
      <w:autoSpaceDN w:val="0"/>
      <w:adjustRightInd w:val="0"/>
      <w:spacing w:after="0" w:line="240" w:lineRule="auto"/>
    </w:pPr>
    <w:rPr>
      <w:rFonts w:ascii="Sole Serif Text" w:hAnsi="Sole Serif Text" w:cs="Sole Serif Text"/>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552767">
      <w:bodyDiv w:val="1"/>
      <w:marLeft w:val="0"/>
      <w:marRight w:val="0"/>
      <w:marTop w:val="0"/>
      <w:marBottom w:val="0"/>
      <w:divBdr>
        <w:top w:val="none" w:sz="0" w:space="0" w:color="auto"/>
        <w:left w:val="none" w:sz="0" w:space="0" w:color="auto"/>
        <w:bottom w:val="none" w:sz="0" w:space="0" w:color="auto"/>
        <w:right w:val="none" w:sz="0" w:space="0" w:color="auto"/>
      </w:divBdr>
    </w:div>
    <w:div w:id="525867146">
      <w:bodyDiv w:val="1"/>
      <w:marLeft w:val="0"/>
      <w:marRight w:val="0"/>
      <w:marTop w:val="0"/>
      <w:marBottom w:val="0"/>
      <w:divBdr>
        <w:top w:val="none" w:sz="0" w:space="0" w:color="auto"/>
        <w:left w:val="none" w:sz="0" w:space="0" w:color="auto"/>
        <w:bottom w:val="none" w:sz="0" w:space="0" w:color="auto"/>
        <w:right w:val="none" w:sz="0" w:space="0" w:color="auto"/>
      </w:divBdr>
    </w:div>
    <w:div w:id="556358650">
      <w:bodyDiv w:val="1"/>
      <w:marLeft w:val="0"/>
      <w:marRight w:val="0"/>
      <w:marTop w:val="0"/>
      <w:marBottom w:val="0"/>
      <w:divBdr>
        <w:top w:val="none" w:sz="0" w:space="0" w:color="auto"/>
        <w:left w:val="none" w:sz="0" w:space="0" w:color="auto"/>
        <w:bottom w:val="none" w:sz="0" w:space="0" w:color="auto"/>
        <w:right w:val="none" w:sz="0" w:space="0" w:color="auto"/>
      </w:divBdr>
    </w:div>
    <w:div w:id="572666635">
      <w:bodyDiv w:val="1"/>
      <w:marLeft w:val="0"/>
      <w:marRight w:val="0"/>
      <w:marTop w:val="0"/>
      <w:marBottom w:val="0"/>
      <w:divBdr>
        <w:top w:val="none" w:sz="0" w:space="0" w:color="auto"/>
        <w:left w:val="none" w:sz="0" w:space="0" w:color="auto"/>
        <w:bottom w:val="none" w:sz="0" w:space="0" w:color="auto"/>
        <w:right w:val="none" w:sz="0" w:space="0" w:color="auto"/>
      </w:divBdr>
      <w:divsChild>
        <w:div w:id="887187487">
          <w:marLeft w:val="259"/>
          <w:marRight w:val="0"/>
          <w:marTop w:val="98"/>
          <w:marBottom w:val="0"/>
          <w:divBdr>
            <w:top w:val="none" w:sz="0" w:space="0" w:color="auto"/>
            <w:left w:val="none" w:sz="0" w:space="0" w:color="auto"/>
            <w:bottom w:val="none" w:sz="0" w:space="0" w:color="auto"/>
            <w:right w:val="none" w:sz="0" w:space="0" w:color="auto"/>
          </w:divBdr>
        </w:div>
      </w:divsChild>
    </w:div>
    <w:div w:id="1886599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580</TotalTime>
  <Pages>6</Pages>
  <Words>3391</Words>
  <Characters>19332</Characters>
  <Application>Microsoft Office Word</Application>
  <DocSecurity>0</DocSecurity>
  <Lines>161</Lines>
  <Paragraphs>45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52</cp:revision>
  <dcterms:created xsi:type="dcterms:W3CDTF">2023-10-02T10:02:00Z</dcterms:created>
  <dcterms:modified xsi:type="dcterms:W3CDTF">2023-10-06T13:03:00Z</dcterms:modified>
</cp:coreProperties>
</file>