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1EB4160F" w:rsidR="006C0C6E" w:rsidRDefault="006C0C6E" w:rsidP="00A62B01">
      <w:pPr>
        <w:rPr>
          <w:b/>
          <w:bCs/>
        </w:rPr>
      </w:pPr>
      <w:r>
        <w:rPr>
          <w:b/>
          <w:bCs/>
        </w:rPr>
        <w:t xml:space="preserve">Titolo: </w:t>
      </w:r>
      <w:r w:rsidR="00934E5B">
        <w:rPr>
          <w:b/>
          <w:bCs/>
        </w:rPr>
        <w:t xml:space="preserve">LE MODIFICHE ALLA DISCIPLINA CUP NELLA BOIZZA DI DECRETO DELEGA </w:t>
      </w:r>
      <w:r w:rsidR="00A62B01" w:rsidRPr="004A753D">
        <w:rPr>
          <w:b/>
          <w:bCs/>
        </w:rPr>
        <w:t xml:space="preserve"> </w:t>
      </w:r>
    </w:p>
    <w:p w14:paraId="3D2EEA74" w14:textId="5C88B32C" w:rsidR="00A62B01" w:rsidRPr="004A753D" w:rsidRDefault="004A753D" w:rsidP="00A62B01">
      <w:pPr>
        <w:rPr>
          <w:b/>
          <w:bCs/>
        </w:rPr>
      </w:pPr>
      <w:r w:rsidRPr="004A753D">
        <w:rPr>
          <w:b/>
          <w:bCs/>
        </w:rPr>
        <w:t xml:space="preserve">PARTE </w:t>
      </w:r>
      <w:r w:rsidR="005F7C52">
        <w:rPr>
          <w:b/>
          <w:bCs/>
        </w:rPr>
        <w:t>TERZA</w:t>
      </w:r>
      <w:r w:rsidR="006C0C6E">
        <w:rPr>
          <w:b/>
          <w:bCs/>
        </w:rPr>
        <w:t>: LA MODIFICA DEL COMMA 8</w:t>
      </w:r>
      <w:r w:rsidR="005F7C52">
        <w:rPr>
          <w:b/>
          <w:bCs/>
        </w:rPr>
        <w:t>20</w:t>
      </w:r>
      <w:r w:rsidR="006C0C6E">
        <w:rPr>
          <w:b/>
          <w:bCs/>
        </w:rPr>
        <w:t xml:space="preserve"> </w:t>
      </w:r>
      <w:r w:rsidR="00934E5B">
        <w:rPr>
          <w:b/>
          <w:bCs/>
        </w:rPr>
        <w:t xml:space="preserve"> </w:t>
      </w:r>
    </w:p>
    <w:p w14:paraId="1298A494" w14:textId="6CFDABED" w:rsidR="00A62B01" w:rsidRDefault="0013116B" w:rsidP="0013116B">
      <w:pPr>
        <w:jc w:val="both"/>
      </w:pPr>
      <w:r>
        <w:t xml:space="preserve">Proseguiamo nell’analisi dell’articolo 26 presente nella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0D029D22" w14:textId="77777777" w:rsidR="005F7C52" w:rsidRDefault="0013116B" w:rsidP="005F7C52">
      <w:pPr>
        <w:spacing w:before="240" w:after="240"/>
        <w:jc w:val="both"/>
      </w:pPr>
      <w:r>
        <w:t xml:space="preserve">In questo approfondimento andiamo a valutare le modifiche che verrebbero apportate </w:t>
      </w:r>
      <w:r w:rsidR="005F7C52">
        <w:t xml:space="preserve">al </w:t>
      </w:r>
      <w:r>
        <w:t>comma 8</w:t>
      </w:r>
      <w:r w:rsidR="005F7C52">
        <w:t>20</w:t>
      </w:r>
      <w:r>
        <w:t xml:space="preserve"> dedicato </w:t>
      </w:r>
      <w:r w:rsidR="005F7C52">
        <w:t xml:space="preserve">al principio dell’assorbimento dei due presupposti. </w:t>
      </w:r>
    </w:p>
    <w:p w14:paraId="2C3959FF" w14:textId="772ABBC0" w:rsidR="005F7C52" w:rsidRDefault="005F7C52" w:rsidP="005F7C52">
      <w:pPr>
        <w:spacing w:before="240" w:after="240"/>
        <w:jc w:val="both"/>
      </w:pPr>
      <w:r>
        <w:t>Comma particolare con il quale il Legislatore ha voluto riprendere quello che era stato in passato un orientamento della Corte di Cassazione con i precedenti prelievi. Di fatto c’è la volontà di non procedere a doppio prelievo per il medesimo oggetto, dando così la parvenza di un canone veramente unico. La scelta è ricaduta nell'applicare il principio dell’assorbimento del presupposto legato all’occupazione di suolo nel presupposto pubblicitario, che sarà quindi oggetto dell’unica richiesta.</w:t>
      </w:r>
    </w:p>
    <w:p w14:paraId="3523087C" w14:textId="4F715458" w:rsidR="0013116B" w:rsidRPr="005F7C52" w:rsidRDefault="005F7C52" w:rsidP="005F7C52">
      <w:pPr>
        <w:jc w:val="both"/>
        <w:rPr>
          <w:i/>
          <w:iCs/>
        </w:rPr>
      </w:pPr>
      <w:r>
        <w:rPr>
          <w:kern w:val="0"/>
          <w14:ligatures w14:val="none"/>
        </w:rPr>
        <w:t xml:space="preserve">Nel testo proposto per la modifica della disciplina si legge all’articolo 26, comma 1 lettera C: </w:t>
      </w:r>
      <w:r w:rsidRPr="005F7C52">
        <w:rPr>
          <w:kern w:val="0"/>
          <w14:ligatures w14:val="none"/>
        </w:rPr>
        <w:t>al comma 820 dopo le parole</w:t>
      </w:r>
      <w:r w:rsidRPr="005F7C52">
        <w:rPr>
          <w:i/>
          <w:iCs/>
          <w:kern w:val="0"/>
          <w14:ligatures w14:val="none"/>
        </w:rPr>
        <w:t xml:space="preserve"> “lettera b)” </w:t>
      </w:r>
      <w:r w:rsidRPr="005F7C52">
        <w:rPr>
          <w:kern w:val="0"/>
          <w14:ligatures w14:val="none"/>
        </w:rPr>
        <w:t>sono aggiunte le parole</w:t>
      </w:r>
      <w:r w:rsidRPr="005F7C52">
        <w:rPr>
          <w:i/>
          <w:iCs/>
          <w:kern w:val="0"/>
          <w14:ligatures w14:val="none"/>
        </w:rPr>
        <w:t xml:space="preserve"> “, di esclusiva</w:t>
      </w:r>
      <w:r>
        <w:rPr>
          <w:i/>
          <w:iCs/>
          <w:kern w:val="0"/>
          <w14:ligatures w14:val="none"/>
        </w:rPr>
        <w:t xml:space="preserve"> </w:t>
      </w:r>
      <w:r w:rsidRPr="005F7C52">
        <w:rPr>
          <w:i/>
          <w:iCs/>
          <w:kern w:val="0"/>
          <w14:ligatures w14:val="none"/>
        </w:rPr>
        <w:t>competenza comunale”;</w:t>
      </w:r>
    </w:p>
    <w:p w14:paraId="31FC036D" w14:textId="1DF79417" w:rsidR="005F7C52" w:rsidRDefault="005F7C52" w:rsidP="005F7C52">
      <w:pPr>
        <w:spacing w:before="240" w:after="240"/>
        <w:jc w:val="both"/>
        <w:rPr>
          <w:i/>
        </w:rPr>
      </w:pPr>
      <w:r>
        <w:t>Il testo originale del comma 820 invece prevedeva:</w:t>
      </w:r>
      <w:r>
        <w:rPr>
          <w:i/>
        </w:rPr>
        <w:t xml:space="preserve"> “L’applicazione del canone dovuto per la diffusione dei messaggi pubblicitari di cui alla lettera b) del comma 819 esclude l’applicazione del canone dovuto per le occupazioni di cui alla lettera a) del medesimo comma.”</w:t>
      </w:r>
    </w:p>
    <w:p w14:paraId="5BF10636" w14:textId="77777777" w:rsidR="00FC18A0" w:rsidRDefault="005F7C52" w:rsidP="005F7C52">
      <w:pPr>
        <w:spacing w:before="240" w:after="240"/>
        <w:jc w:val="both"/>
        <w:rPr>
          <w:iCs/>
        </w:rPr>
      </w:pPr>
      <w:r>
        <w:rPr>
          <w:iCs/>
        </w:rPr>
        <w:t xml:space="preserve">La modifica proposta </w:t>
      </w:r>
      <w:r w:rsidR="00FC18A0">
        <w:rPr>
          <w:iCs/>
        </w:rPr>
        <w:t>ha evidentemente</w:t>
      </w:r>
      <w:r>
        <w:rPr>
          <w:iCs/>
        </w:rPr>
        <w:t xml:space="preserve"> una duplice finalità. Innanzi tutto </w:t>
      </w:r>
      <w:r w:rsidR="00FC18A0">
        <w:rPr>
          <w:iCs/>
        </w:rPr>
        <w:t xml:space="preserve">chiarisce come sia necessaria l’identità soggettiva dell’ente legittimato alla riscossione del canone per entrambi i presupposti, dopodiché chiarisce uno dei temi che più ha diviso in materia di Canone Unico, ovvero la competenza esclusiva dei Comuni in materia di diffusioni pubblicitarie.  </w:t>
      </w:r>
    </w:p>
    <w:p w14:paraId="11717F14" w14:textId="2DB6777E" w:rsidR="005F7C52" w:rsidRPr="00FC18A0" w:rsidRDefault="00FC18A0" w:rsidP="005F7C52">
      <w:pPr>
        <w:spacing w:before="240" w:after="240"/>
        <w:jc w:val="both"/>
      </w:pPr>
      <w:r>
        <w:rPr>
          <w:iCs/>
        </w:rPr>
        <w:t xml:space="preserve">L’aggiunta delle parole </w:t>
      </w:r>
      <w:r w:rsidRPr="005F7C52">
        <w:rPr>
          <w:i/>
          <w:iCs/>
          <w:kern w:val="0"/>
          <w14:ligatures w14:val="none"/>
        </w:rPr>
        <w:t>“di esclusiva</w:t>
      </w:r>
      <w:r>
        <w:rPr>
          <w:i/>
          <w:iCs/>
          <w:kern w:val="0"/>
          <w14:ligatures w14:val="none"/>
        </w:rPr>
        <w:t xml:space="preserve"> </w:t>
      </w:r>
      <w:r w:rsidRPr="005F7C52">
        <w:rPr>
          <w:i/>
          <w:iCs/>
          <w:kern w:val="0"/>
          <w14:ligatures w14:val="none"/>
        </w:rPr>
        <w:t>competenza comunale”</w:t>
      </w:r>
      <w:r>
        <w:rPr>
          <w:kern w:val="0"/>
          <w14:ligatures w14:val="none"/>
        </w:rPr>
        <w:t xml:space="preserve"> assume rilevanza proprio nell’attribuire ai Comuni la esclusiva competenza il relazione al presupposto di cui alla lettera B del comma 819.</w:t>
      </w:r>
    </w:p>
    <w:p w14:paraId="2C1C361B" w14:textId="3B825EE4" w:rsidR="005F7C52" w:rsidRDefault="00FC18A0" w:rsidP="005F7C52">
      <w:pPr>
        <w:spacing w:before="240" w:after="240"/>
        <w:jc w:val="both"/>
      </w:pPr>
      <w:r>
        <w:t xml:space="preserve">Andiamo per gradi. Innanzi tutto con la modifica capiamo finalmente che </w:t>
      </w:r>
      <w:r w:rsidR="005F7C52">
        <w:t xml:space="preserve">il comma troverà applicazione solo quando vi è identità oggettiva e soggettiva. Ovvero quando riferiti ad un impianto pubblicitario che ricade su suolo pubblico, la cui soggettività attiva è riconducibile al medesimo ente. Questi due fattori sono fondamentali per procedere correttamente all’assorbimento dei due </w:t>
      </w:r>
      <w:r>
        <w:t>presupposti, che</w:t>
      </w:r>
      <w:r w:rsidR="005F7C52">
        <w:t xml:space="preserve"> viceversa dovrebbero mantenere la loro autonoma funzione.</w:t>
      </w:r>
    </w:p>
    <w:p w14:paraId="5154648D" w14:textId="77777777" w:rsidR="005F7C52" w:rsidRDefault="005F7C52" w:rsidP="005F7C52">
      <w:pPr>
        <w:spacing w:before="240" w:after="240"/>
        <w:jc w:val="both"/>
      </w:pPr>
      <w:r>
        <w:t>In questo senso è corretto ipotizzare che quando la strada su cui è collocato l’impianto pubblicitario è di competenza della Provincia o della Città Metropolitana e non ricade nelle competenze comunali (interno centro abitato con popolazione superiore a diecimila abitanti), il comma 820 non troverà applicazione e, mentre il Comune riscuote il canone calcolato sulla superficie espositiva, la Provincia o la Città metropolitana riscuoteranno il canone per la superficie relativa l’occupazione del suolo pubblico. Al lato pratico quindi il comma 820 riguarderà potenzialmente solo il Comune, unico soggetto attivo per il presupposto pubblicitario che potrebbe vedere realizzarsi anche il presupposto legato all’occupazione di suolo pubblico su un tratto di strada di sua competenza. Nota a margine, qualora l’ente proprietario della strada su cui ricade l’occupazione dell’impianto non è soggetto attivo CUP (ad esempio ANAS), questi potrà legittimamente richiedere il pagamento del canone ex articolo 27 del Codice della Strada, che come detto in precedenza, non è stato abrogato.</w:t>
      </w:r>
    </w:p>
    <w:p w14:paraId="2DA25EA6" w14:textId="77777777" w:rsidR="005F7C52" w:rsidRDefault="005F7C52" w:rsidP="005F7C52">
      <w:pPr>
        <w:spacing w:before="240" w:after="240"/>
        <w:jc w:val="both"/>
        <w:rPr>
          <w:i/>
        </w:rPr>
      </w:pPr>
      <w:r>
        <w:t xml:space="preserve">Sul tema si è espressa anche IFEL nella nota di approfondimento del 14 aprile 2021 dedicata al riparto tra Comuni e Province. In quell’occasione scriveva. </w:t>
      </w:r>
      <w:r>
        <w:rPr>
          <w:i/>
        </w:rPr>
        <w:t xml:space="preserve">“il principio dell’assorbimento stabilito dal comma 820 non </w:t>
      </w:r>
      <w:r>
        <w:rPr>
          <w:i/>
        </w:rPr>
        <w:lastRenderedPageBreak/>
        <w:t>può che valere nei confronti di un unico soggetto attivo, e quindi solo nei confronti del Comune, unica ipotesi in cui la medesima occupazione può dar luogo sia ad un prelievo collegato all’occupazione sia ad un prelievo collegato alla diffusione di messaggi pubblicitari”</w:t>
      </w:r>
    </w:p>
    <w:p w14:paraId="4915CF96" w14:textId="35FAF36E" w:rsidR="005F7C52" w:rsidRDefault="005F7C52" w:rsidP="005F7C52">
      <w:pPr>
        <w:spacing w:before="240" w:after="240"/>
        <w:jc w:val="both"/>
      </w:pPr>
      <w:r>
        <w:t xml:space="preserve">Per quanto concerne il requisito oggettivo, ovvero la condizione che prevede come il principio di assorbimento debba necessariamente riferirsi </w:t>
      </w:r>
      <w:r w:rsidR="00FC18A0">
        <w:t>al medesimo</w:t>
      </w:r>
      <w:r>
        <w:t xml:space="preserve"> oggetto, deve intendersi nel senso che il comma 820, solo sugli impianti pubblicitari può trovare applicazione. Sarebbe infatti sbagliato ipotizzare di applicare il CUP solo sul presupposto pubblicitario quando un'esposizione reclamistica viene diffusa su un elemento che non è un impianto pubblicitario. Ad esempio, se viene installato un ponteggio in area pubblica e sopra le sue campate viene esposto uno striscione pubblicitario, non si potrà realizzare nessun assorbimento. Il ponteggio, in quanto tale dovrà scontare il canone in base all’occupazione, lo striscione sconterà invece  il CUP per la sua superficie espositiva. Stesso concetto e criterio per le pubblicità realizzate su diversi oggetti, come tende solari, ombrelloni, sedie, tavoli, ecc.. tutti elementi che formano il presupposto di cui alla lettera A del comma 819 e che se vengono pubblicizzati dovranno versare </w:t>
      </w:r>
      <w:r w:rsidR="00FC18A0">
        <w:t xml:space="preserve">anche </w:t>
      </w:r>
      <w:r>
        <w:t>il canone per la componente pubblicitaria.</w:t>
      </w:r>
    </w:p>
    <w:p w14:paraId="715C33B5" w14:textId="09F6F00B" w:rsidR="00E70E43" w:rsidRDefault="00E70E43" w:rsidP="005F7C52">
      <w:pPr>
        <w:spacing w:before="240" w:after="240"/>
        <w:jc w:val="both"/>
      </w:pPr>
      <w:r>
        <w:t>Come detto la modifica proposta nel comma 820, porta anche</w:t>
      </w:r>
      <w:r w:rsidR="00560A95">
        <w:t>,</w:t>
      </w:r>
      <w:r>
        <w:t xml:space="preserve"> e soprattutto</w:t>
      </w:r>
      <w:r w:rsidR="00560A95">
        <w:t>,</w:t>
      </w:r>
      <w:r>
        <w:t xml:space="preserve"> ad una corretta interpretazione sulla competenza in generale del presupposto pubblicitario.</w:t>
      </w:r>
    </w:p>
    <w:p w14:paraId="54C4A343" w14:textId="415188C9" w:rsidR="00560A95" w:rsidRDefault="00560A95" w:rsidP="00560A95">
      <w:pPr>
        <w:spacing w:before="240" w:after="240"/>
        <w:jc w:val="both"/>
      </w:pPr>
      <w:r>
        <w:t>Con i precedenti prelievi dedicati alle iniziative pubblicitarie, ossia l’Imposta Comunale sulla Pubblicità o l’alternativo canone tributario denominato CIMP, la riscossione era inequivocabilmente solo ed esclusivamente a favore del Comune, individuato dal Legislatore come unico soggetto attivo su tutto il territorio comunale. Strade provinciali, regionali e statali comprese.</w:t>
      </w:r>
    </w:p>
    <w:p w14:paraId="16B82BBE" w14:textId="77777777" w:rsidR="00560A95" w:rsidRDefault="00560A95" w:rsidP="00560A95">
      <w:pPr>
        <w:spacing w:before="240" w:after="240"/>
        <w:jc w:val="both"/>
      </w:pPr>
      <w:r>
        <w:t>Agli enti proprietari delle strade non rimaneva altro che richiedere, se dai loro regolamenti previsto, il pagamento del canone ex articolo 27 a fronte del rilascio dell’autorizzazione, e in certi casi anche per il solo rilascio del nulla osta, ad installare un impianto pubblicitario lungo la loro strada o in vista di essa.</w:t>
      </w:r>
    </w:p>
    <w:p w14:paraId="3272C8CE" w14:textId="77777777" w:rsidR="00560A95" w:rsidRDefault="00560A95" w:rsidP="00560A95">
      <w:pPr>
        <w:spacing w:before="240" w:after="240"/>
        <w:jc w:val="both"/>
      </w:pPr>
      <w:r>
        <w:t>Con gli impianti pubblicitari quindi la disciplina ante CUP era del tutto lineare. Gettito ICP di esclusiva competenza comunale, possibilità di richiedere un canone in base all’articolo 27 comma 7 da parte dell’ente proprietario della strada. Nessuna Provincia o Città metropolitana si era quindi mai posta il problema di considerarsi soggetto attivo per il presupposto dell’ICP e di adottarne specifico regolamento.</w:t>
      </w:r>
    </w:p>
    <w:p w14:paraId="4C423263" w14:textId="037E2F3F" w:rsidR="00560A95" w:rsidRDefault="00560A95" w:rsidP="00560A95">
      <w:pPr>
        <w:spacing w:before="240" w:after="240"/>
        <w:jc w:val="both"/>
      </w:pPr>
      <w:r>
        <w:t>Oggi, è ancora così e la modifica proposta contenuta nell’articolo 26 comma 1 lettera C, porta a confermare quello che era già un orientamento diffuso.</w:t>
      </w:r>
    </w:p>
    <w:p w14:paraId="030FEFA5" w14:textId="77DEFA55" w:rsidR="00B76F16" w:rsidRDefault="00B76F16" w:rsidP="00B76F16">
      <w:pPr>
        <w:spacing w:before="240" w:after="240"/>
        <w:jc w:val="both"/>
      </w:pPr>
      <w:r>
        <w:t>Rimane quindi ferma la convinzione che il nuovo prelievo non abbia spostato la soggettività attiva da un ente all’altro.  Per questo</w:t>
      </w:r>
      <w:r w:rsidR="00332356">
        <w:t>,</w:t>
      </w:r>
      <w:r>
        <w:t xml:space="preserve"> </w:t>
      </w:r>
      <w:r w:rsidR="00205B39">
        <w:t>con il canone</w:t>
      </w:r>
      <w:r>
        <w:t xml:space="preserve"> unico</w:t>
      </w:r>
      <w:r w:rsidR="00332356">
        <w:t>,</w:t>
      </w:r>
      <w:r>
        <w:t xml:space="preserve"> la Provincia e gli altri Enti territoriali potranno continuare a pretendere solo la </w:t>
      </w:r>
      <w:r w:rsidR="00205B39">
        <w:t>componente collegata</w:t>
      </w:r>
      <w:r>
        <w:t xml:space="preserve"> all’occupazione di suolo pubblico e non anche quella collegata alla diffusione dei messaggi pubblicitari.</w:t>
      </w:r>
    </w:p>
    <w:p w14:paraId="156945D1" w14:textId="77777777" w:rsidR="00B76F16" w:rsidRDefault="00B76F16" w:rsidP="00B76F16">
      <w:pPr>
        <w:spacing w:before="240" w:after="240"/>
        <w:jc w:val="both"/>
      </w:pPr>
      <w:r>
        <w:t>Anche il Dipartimento delle Finanze, nella risposta n.5 fornita a Telefisco 2022, aveva di fatto già confermato questo orientamento, chiarendo che i comuni, nel caso di impianti pubblicitari installati su strada di competenza della provincia, avrebbero riscosso il presupposto pubblicitario, mentre la provincia, avrebbe riscosso il canone basato sul presupposto legato all'occupazione di suolo pubblico. Per uno stesso oggetto quindi, si realizzano entrambi i presupposti per i quali non trova applicazione la regola dell'assorbimento dei due prelievi voluta dal comma 820, ma, piuttosto, una legittima duplice richiesta di pagamento effettuata dalle due pubbliche amministrazioni interessate.</w:t>
      </w:r>
    </w:p>
    <w:p w14:paraId="02A8113D" w14:textId="5B3169B6" w:rsidR="00B76F16" w:rsidRDefault="00B76F16" w:rsidP="00B76F16">
      <w:pPr>
        <w:spacing w:before="240" w:after="240"/>
        <w:jc w:val="both"/>
      </w:pPr>
      <w:r>
        <w:lastRenderedPageBreak/>
        <w:t xml:space="preserve">In linea con questa interpretazione, </w:t>
      </w:r>
      <w:r w:rsidR="00205B39">
        <w:t>abbiamo visto nei mesi scorsi</w:t>
      </w:r>
      <w:r>
        <w:t xml:space="preserve"> anche la prima sentenza, a conferma che il presupposto pubblicitario sia da considerare sempre e comunque ad esclusivo vantaggio dei comuni. La Corte di Giustizia Tributaria di Milano, con la sentenza n.260 del 27 gennaio scorso, ha ritenuto infatti del tutto irrilevante la circostanza che l'installazione dei mezzi pubblicitari avvenga su strade provinciali, regionali o statali. La competenza autorizzatoria, che può interessare ad esempio la provincia così come l'Anas, non comporta il pagamento del canone per la diffusione di messaggi pubblicitari in loro favore.</w:t>
      </w:r>
    </w:p>
    <w:p w14:paraId="7AA66828" w14:textId="09BCB78D" w:rsidR="00205B39" w:rsidRPr="00EA2F54" w:rsidRDefault="00205B39" w:rsidP="00205B39">
      <w:pPr>
        <w:jc w:val="both"/>
        <w:rPr>
          <w:i/>
          <w:iCs/>
        </w:rPr>
      </w:pPr>
      <w:r>
        <w:t xml:space="preserve">Anche il TAR a più riprese ha detto che il presupposto </w:t>
      </w:r>
      <w:r w:rsidR="00332356">
        <w:t>pubblicitario</w:t>
      </w:r>
      <w:r>
        <w:t xml:space="preserve"> debba considerarsi ad esclusivo appannaggio dei Comuni. Nelle sentenze 1848/2023 e 1850/2023 del TAR Lombardia, si esprime in questi termini: </w:t>
      </w:r>
      <w:r w:rsidRPr="00EA2F54">
        <w:rPr>
          <w:i/>
          <w:iCs/>
        </w:rPr>
        <w:t xml:space="preserve">“Non si ravvisa dunque alcuna ipotesi di illegittimità nell’atto regolamentare impugnato, </w:t>
      </w:r>
      <w:r w:rsidRPr="00332356">
        <w:rPr>
          <w:i/>
          <w:iCs/>
        </w:rPr>
        <w:t>che prevede di applicare il canone unico a tutto il territorio comunale, ivi compresi i tratti stradali che di esso</w:t>
      </w:r>
      <w:r w:rsidRPr="00EA2F54">
        <w:rPr>
          <w:i/>
          <w:iCs/>
        </w:rPr>
        <w:t xml:space="preserve"> fanno parte - ai fini dell’applicazione del C.U. - ai sensi del combinato disposto tra l’art. 1 comma 818 L. 160/2019 e l’art. 2 comma 7 del Codice della Strada.”</w:t>
      </w:r>
    </w:p>
    <w:p w14:paraId="5CF6CC6D" w14:textId="36A71706" w:rsidR="00205B39" w:rsidRDefault="00205B39" w:rsidP="00205B39">
      <w:pPr>
        <w:jc w:val="both"/>
      </w:pPr>
      <w:r>
        <w:t xml:space="preserve">Anche il TAR quindi evidenzia come corretto il comportamento </w:t>
      </w:r>
      <w:r w:rsidR="00332356">
        <w:t>di quei</w:t>
      </w:r>
      <w:r>
        <w:t xml:space="preserve"> </w:t>
      </w:r>
      <w:r w:rsidR="00332356">
        <w:t>comuni</w:t>
      </w:r>
      <w:r>
        <w:t xml:space="preserve"> che applica</w:t>
      </w:r>
      <w:r w:rsidR="00332356">
        <w:t>no</w:t>
      </w:r>
      <w:r>
        <w:t xml:space="preserve"> il Canone Unico per la sua componente pubblicitaria su tutto il territorio comunale, ivi compresi quei tratti di strada di competenza di altri enti territoriali.</w:t>
      </w:r>
    </w:p>
    <w:p w14:paraId="510706CE" w14:textId="2D1497FF" w:rsidR="00205B39" w:rsidRDefault="00332356" w:rsidP="00205B39">
      <w:pPr>
        <w:jc w:val="both"/>
      </w:pPr>
      <w:r>
        <w:t>Pertanto, s</w:t>
      </w:r>
      <w:r w:rsidR="00205B39">
        <w:t xml:space="preserve">e la proposta contenuta nell’articolo 26 comma 1 lettera C dovesse essere introdotta, si </w:t>
      </w:r>
      <w:r>
        <w:t>risolverebbe definitivamente</w:t>
      </w:r>
      <w:r w:rsidR="00205B39">
        <w:t xml:space="preserve"> la problematica attribuendo ex lege la competenza </w:t>
      </w:r>
      <w:r>
        <w:t xml:space="preserve">esclusiva </w:t>
      </w:r>
      <w:r w:rsidR="00205B39">
        <w:t xml:space="preserve">ai Comuni </w:t>
      </w:r>
      <w:r>
        <w:t>sul</w:t>
      </w:r>
      <w:r w:rsidR="00205B39">
        <w:t xml:space="preserve"> presupposto di cui alla lettera B del comma 819 della Legge 160/2019.</w:t>
      </w:r>
    </w:p>
    <w:p w14:paraId="586A3FC7" w14:textId="030D6238" w:rsidR="00205B39" w:rsidRDefault="00205B39" w:rsidP="00B76F16">
      <w:pPr>
        <w:spacing w:before="240" w:after="240"/>
        <w:jc w:val="both"/>
      </w:pPr>
    </w:p>
    <w:p w14:paraId="2650DA72" w14:textId="77777777" w:rsidR="007B1D34" w:rsidRDefault="007B1D34" w:rsidP="00B76F16">
      <w:pPr>
        <w:spacing w:before="240" w:after="240"/>
        <w:jc w:val="both"/>
      </w:pPr>
    </w:p>
    <w:p w14:paraId="3EFDCED7" w14:textId="77777777" w:rsidR="00560A95" w:rsidRDefault="00560A95" w:rsidP="00560A95">
      <w:pPr>
        <w:spacing w:before="240" w:after="240"/>
        <w:jc w:val="both"/>
      </w:pPr>
    </w:p>
    <w:p w14:paraId="45C2946B" w14:textId="77777777" w:rsidR="00560A95" w:rsidRDefault="00560A95" w:rsidP="005F7C52">
      <w:pPr>
        <w:spacing w:before="240" w:after="240"/>
        <w:jc w:val="both"/>
      </w:pPr>
    </w:p>
    <w:p w14:paraId="6EB07A0E" w14:textId="77777777" w:rsidR="00E70E43" w:rsidRDefault="00E70E43" w:rsidP="005F7C52">
      <w:pPr>
        <w:spacing w:before="240" w:after="240"/>
        <w:jc w:val="both"/>
      </w:pPr>
    </w:p>
    <w:p w14:paraId="14C3348D" w14:textId="77777777" w:rsidR="005F7C52" w:rsidRDefault="005F7C52" w:rsidP="005F7C52">
      <w:pPr>
        <w:jc w:val="both"/>
      </w:pPr>
    </w:p>
    <w:p w14:paraId="1239C1B7" w14:textId="568252EC" w:rsidR="00060149" w:rsidRDefault="00060149" w:rsidP="00A62B01"/>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60149"/>
    <w:rsid w:val="00063280"/>
    <w:rsid w:val="0013116B"/>
    <w:rsid w:val="00146429"/>
    <w:rsid w:val="00205B39"/>
    <w:rsid w:val="00332356"/>
    <w:rsid w:val="004A753D"/>
    <w:rsid w:val="004C35CE"/>
    <w:rsid w:val="00560A95"/>
    <w:rsid w:val="005C5942"/>
    <w:rsid w:val="005F7C52"/>
    <w:rsid w:val="00621C14"/>
    <w:rsid w:val="006C0C6E"/>
    <w:rsid w:val="006C329E"/>
    <w:rsid w:val="00703996"/>
    <w:rsid w:val="007B1D34"/>
    <w:rsid w:val="00816F43"/>
    <w:rsid w:val="00934E5B"/>
    <w:rsid w:val="00A62B01"/>
    <w:rsid w:val="00B76F16"/>
    <w:rsid w:val="00C3345A"/>
    <w:rsid w:val="00C4143F"/>
    <w:rsid w:val="00C6207D"/>
    <w:rsid w:val="00C86235"/>
    <w:rsid w:val="00D80C8B"/>
    <w:rsid w:val="00DC634A"/>
    <w:rsid w:val="00E21F8C"/>
    <w:rsid w:val="00E70E43"/>
    <w:rsid w:val="00E74A45"/>
    <w:rsid w:val="00FC1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3</Pages>
  <Words>1401</Words>
  <Characters>7989</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17</cp:revision>
  <dcterms:created xsi:type="dcterms:W3CDTF">2023-10-02T10:02:00Z</dcterms:created>
  <dcterms:modified xsi:type="dcterms:W3CDTF">2023-10-03T15:37:00Z</dcterms:modified>
</cp:coreProperties>
</file>