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4E297" w14:textId="6453302C" w:rsidR="00060149" w:rsidRDefault="00270EFD">
      <w:r>
        <w:t>TITOLO: La prescrizione del Canone Unico Patrimoniale</w:t>
      </w:r>
      <w:r w:rsidR="00FE61F2">
        <w:t xml:space="preserve">. </w:t>
      </w:r>
      <w:r w:rsidR="002356DA">
        <w:t>Dieci o cinque anni</w:t>
      </w:r>
      <w:r w:rsidR="00FE61F2">
        <w:t>? S</w:t>
      </w:r>
      <w:r>
        <w:t xml:space="preserve">entenza di </w:t>
      </w:r>
      <w:r w:rsidRPr="00270EFD">
        <w:t>Cassazione – Sez I – Ordinanza 9880 del 13/4/2023</w:t>
      </w:r>
    </w:p>
    <w:p w14:paraId="5D86D0E1" w14:textId="2A15298F" w:rsidR="00270EFD" w:rsidRDefault="00270EFD" w:rsidP="00FE61F2">
      <w:pPr>
        <w:jc w:val="both"/>
      </w:pPr>
      <w:r>
        <w:t xml:space="preserve">Interessantissima sentenza emessa dalla </w:t>
      </w:r>
      <w:r w:rsidR="00FE61F2">
        <w:t xml:space="preserve">Corte di </w:t>
      </w:r>
      <w:r>
        <w:t xml:space="preserve">Cassazione in materia di COSAP i cui contenuti portano </w:t>
      </w:r>
      <w:r w:rsidR="00FE61F2">
        <w:t xml:space="preserve">naturalmente </w:t>
      </w:r>
      <w:r>
        <w:t xml:space="preserve">a riflettere sula disciplina dell’odierno CUP, Canone Unico Patrimoniale istituito grazie al comma 816 articolo 1 della Legge 160/2019 da Comuni, Province e Città </w:t>
      </w:r>
      <w:r w:rsidR="00BA384C">
        <w:t>Metropolitane</w:t>
      </w:r>
      <w:r>
        <w:t xml:space="preserve"> in sostituzione dei precedenti prelievi relativi la diffusione pubblicitaria</w:t>
      </w:r>
      <w:r w:rsidR="00FE61F2">
        <w:t xml:space="preserve">, </w:t>
      </w:r>
      <w:r>
        <w:t>ICP e CIMP</w:t>
      </w:r>
      <w:r w:rsidR="00FE61F2">
        <w:t>, di natura tributaria</w:t>
      </w:r>
      <w:r w:rsidR="00BA384C">
        <w:t xml:space="preserve"> e </w:t>
      </w:r>
      <w:r w:rsidR="00FE61F2">
        <w:t xml:space="preserve">quelli relativi </w:t>
      </w:r>
      <w:r w:rsidR="00BA384C">
        <w:t>alle occupazioni di suolo pubblico</w:t>
      </w:r>
      <w:r w:rsidR="00FE61F2">
        <w:t xml:space="preserve">, </w:t>
      </w:r>
      <w:r w:rsidR="00BA384C">
        <w:t>TOSAP</w:t>
      </w:r>
      <w:r w:rsidR="00FE61F2">
        <w:t xml:space="preserve"> anch’esso di natura tributaria</w:t>
      </w:r>
      <w:r w:rsidR="00BA384C">
        <w:t xml:space="preserve"> e COSAP</w:t>
      </w:r>
      <w:r w:rsidR="00FE61F2">
        <w:t>, invece di natura patrimoniale</w:t>
      </w:r>
      <w:r w:rsidR="00BA384C">
        <w:t>.</w:t>
      </w:r>
    </w:p>
    <w:p w14:paraId="4E3B315F" w14:textId="26C891E1" w:rsidR="00BA384C" w:rsidRDefault="00BA384C">
      <w:r>
        <w:t>Proprio</w:t>
      </w:r>
      <w:r w:rsidR="00FE61F2">
        <w:t xml:space="preserve"> una vertenza sul canone Cosap</w:t>
      </w:r>
      <w:r>
        <w:t xml:space="preserve">, </w:t>
      </w:r>
      <w:r w:rsidR="00FE61F2">
        <w:t>che tra i diversi prelievi sostituiti, rappresenta certamente que</w:t>
      </w:r>
      <w:r w:rsidR="002356DA">
        <w:t xml:space="preserve">llo con maggiori analogie </w:t>
      </w:r>
      <w:r w:rsidR="00FE61F2">
        <w:t>all</w:t>
      </w:r>
      <w:r>
        <w:t>’odierno CUP, è stat</w:t>
      </w:r>
      <w:r w:rsidR="00FE61F2">
        <w:t>a</w:t>
      </w:r>
      <w:r>
        <w:t xml:space="preserve"> oggetto della sentenza in commento.</w:t>
      </w:r>
    </w:p>
    <w:p w14:paraId="3A1EDC50" w14:textId="0B3293B3" w:rsidR="00BA384C" w:rsidRDefault="00BA384C">
      <w:r>
        <w:t xml:space="preserve">Vediamo </w:t>
      </w:r>
      <w:r w:rsidR="00FE61F2">
        <w:t xml:space="preserve">allora </w:t>
      </w:r>
      <w:r>
        <w:t>alcuni contenuti della recente sentenza pubblicata.</w:t>
      </w:r>
      <w:r w:rsidR="00387E64">
        <w:t xml:space="preserve"> </w:t>
      </w:r>
    </w:p>
    <w:p w14:paraId="62BE302A" w14:textId="7F2958A0" w:rsidR="00BA384C" w:rsidRPr="00BA384C" w:rsidRDefault="00387E64" w:rsidP="00BA384C">
      <w:pPr>
        <w:jc w:val="both"/>
        <w:rPr>
          <w:i/>
          <w:iCs/>
        </w:rPr>
      </w:pPr>
      <w:r w:rsidRPr="00387E64">
        <w:rPr>
          <w:b/>
          <w:bCs/>
        </w:rPr>
        <w:t>Al punto 2 dei motivi della decisione si legge</w:t>
      </w:r>
      <w:r>
        <w:rPr>
          <w:i/>
          <w:iCs/>
        </w:rPr>
        <w:t xml:space="preserve">: </w:t>
      </w:r>
      <w:r w:rsidR="00BA384C">
        <w:rPr>
          <w:i/>
          <w:iCs/>
        </w:rPr>
        <w:t>“</w:t>
      </w:r>
      <w:r w:rsidR="00BA384C" w:rsidRPr="00BA384C">
        <w:rPr>
          <w:i/>
          <w:iCs/>
        </w:rPr>
        <w:t>Questa Corte (Cass. 24541/2019) ha ribadito che "il canone per l'occupazione di Spazi ed aree pubbliche, istituito dal D.Lgs. 15 dicembre 1997, n. 446, art. 63 come modificato dalla L. 23 dicembre 1998, n. 448, art. 31 risulta configurato come corrispettivo di una concessione, reale o presunta (nel caso di occupazione abusiva), dell'uso esclusivo o speciale di beni pubblici", cosicchè esso, pertanto, è dovuto non in base alla limitazione o sottrazione all'uso normale o collettivo di parte del suolo, ma in relazione all'utilizzazione particolare o eccezionale che ne trae il singolo.</w:t>
      </w:r>
    </w:p>
    <w:p w14:paraId="4B036DF0" w14:textId="59531652" w:rsidR="00BA384C" w:rsidRPr="00BA384C" w:rsidRDefault="00BA384C" w:rsidP="00BA384C">
      <w:pPr>
        <w:jc w:val="both"/>
        <w:rPr>
          <w:i/>
          <w:iCs/>
        </w:rPr>
      </w:pPr>
      <w:r w:rsidRPr="00BA384C">
        <w:rPr>
          <w:i/>
          <w:iCs/>
        </w:rPr>
        <w:t>Il presupposto applicativo del Cosap è costituito quindi dall'uso particolare del bene di proprietà pubblica ed è irrilevante la mancanza di una formale concessione quando vi sia un'occupazione di fatto del suolo pubblico (Sez. 1, n. 1435 del 19/01/2018; Sez. 2,04/05/2018, n. 10733; Sez. 5, n. 18037 del 06/08/2009).</w:t>
      </w:r>
    </w:p>
    <w:p w14:paraId="1EBB91FC" w14:textId="5098DE35" w:rsidR="00BA384C" w:rsidRDefault="00BA384C" w:rsidP="00BA384C">
      <w:pPr>
        <w:jc w:val="both"/>
        <w:rPr>
          <w:i/>
          <w:iCs/>
        </w:rPr>
      </w:pPr>
      <w:r w:rsidRPr="00BA384C">
        <w:rPr>
          <w:i/>
          <w:iCs/>
        </w:rPr>
        <w:t>Tale principio è stato espresso anche dalla decisione del 7/1/2016 n. 61 delle Sezioni Unite, in tema di riparto di giurisdizione, che ha ribadito che il Cosap è configurato come corrispettivo di una concessione, reale o presunta (nel caso di occupazione abusiva), dell'uso esclusivo o speciale di beni pubblici, e non già dovuto per la sottrazione al sistema della viabilità di un'area o Spazio pubblico.</w:t>
      </w:r>
      <w:r>
        <w:rPr>
          <w:i/>
          <w:iCs/>
        </w:rPr>
        <w:t>”</w:t>
      </w:r>
    </w:p>
    <w:p w14:paraId="4DFCF3C5" w14:textId="1A272D20" w:rsidR="00BA384C" w:rsidRDefault="00BA384C" w:rsidP="00BA384C">
      <w:pPr>
        <w:jc w:val="both"/>
        <w:rPr>
          <w:i/>
          <w:iCs/>
        </w:rPr>
      </w:pPr>
      <w:r>
        <w:t xml:space="preserve">Queste considerazioni sono totalmente replicabili nel Canone Unico. Il presupposto applicativo contenuto nel comma 819 lettera a dell’articolo 1 della Legge 160/2019 infatti prevede: </w:t>
      </w:r>
      <w:r w:rsidRPr="00BA384C">
        <w:rPr>
          <w:i/>
          <w:iCs/>
        </w:rPr>
        <w:t>“l’occupazione, anche abusiva, delle aree appartenenti al demanio o al patrimonio indisponibile degli enti e degli spazi soprastanti o sottostanti il suolo pubblico;”</w:t>
      </w:r>
    </w:p>
    <w:p w14:paraId="6596432A" w14:textId="79EFC24A" w:rsidR="00387E64" w:rsidRDefault="00387E64" w:rsidP="00387E64">
      <w:pPr>
        <w:jc w:val="both"/>
        <w:rPr>
          <w:i/>
          <w:iCs/>
        </w:rPr>
      </w:pPr>
      <w:r w:rsidRPr="00387E64">
        <w:rPr>
          <w:b/>
          <w:bCs/>
        </w:rPr>
        <w:t>Al punto 3 dei motivi della decisione si legge</w:t>
      </w:r>
      <w:r>
        <w:t>: “</w:t>
      </w:r>
      <w:r w:rsidRPr="00387E64">
        <w:rPr>
          <w:i/>
          <w:iCs/>
        </w:rPr>
        <w:t>La giurisprudenza di questo giudice di legittimità è ferma nel ritenere che l'indennizzo</w:t>
      </w:r>
      <w:r>
        <w:rPr>
          <w:i/>
          <w:iCs/>
        </w:rPr>
        <w:t xml:space="preserve"> </w:t>
      </w:r>
      <w:r w:rsidRPr="00387E64">
        <w:rPr>
          <w:i/>
          <w:iCs/>
        </w:rPr>
        <w:t xml:space="preserve">in esame non sia assimilabile </w:t>
      </w:r>
      <w:r w:rsidR="002356DA" w:rsidRPr="00387E64">
        <w:rPr>
          <w:i/>
          <w:iCs/>
        </w:rPr>
        <w:t>né</w:t>
      </w:r>
      <w:r w:rsidRPr="00387E64">
        <w:rPr>
          <w:i/>
          <w:iCs/>
        </w:rPr>
        <w:t xml:space="preserve"> al canone di locazione </w:t>
      </w:r>
      <w:r w:rsidR="002356DA" w:rsidRPr="00387E64">
        <w:rPr>
          <w:i/>
          <w:iCs/>
        </w:rPr>
        <w:t>né</w:t>
      </w:r>
      <w:r w:rsidRPr="00387E64">
        <w:rPr>
          <w:i/>
          <w:iCs/>
        </w:rPr>
        <w:t xml:space="preserve"> alle altre prestazioni</w:t>
      </w:r>
      <w:r>
        <w:rPr>
          <w:i/>
          <w:iCs/>
        </w:rPr>
        <w:t xml:space="preserve"> </w:t>
      </w:r>
      <w:r w:rsidRPr="00387E64">
        <w:rPr>
          <w:i/>
          <w:iCs/>
        </w:rPr>
        <w:t>periodiche di cui all'art. 2948 c.c., n. 1, 1 bis e 2, in quanto assolve alla funzione di</w:t>
      </w:r>
      <w:r>
        <w:rPr>
          <w:i/>
          <w:iCs/>
        </w:rPr>
        <w:t xml:space="preserve"> </w:t>
      </w:r>
      <w:r w:rsidRPr="00387E64">
        <w:rPr>
          <w:i/>
          <w:iCs/>
        </w:rPr>
        <w:t>compensare "medio tempore", per tutta la durata dello stato di indisponibilità del bene,</w:t>
      </w:r>
      <w:r>
        <w:rPr>
          <w:i/>
          <w:iCs/>
        </w:rPr>
        <w:t xml:space="preserve"> </w:t>
      </w:r>
      <w:r w:rsidRPr="00387E64">
        <w:rPr>
          <w:i/>
          <w:iCs/>
        </w:rPr>
        <w:t>il detrimento dato dal suo mancato godimento; per cui, ingenerando un'obbligazione di</w:t>
      </w:r>
      <w:r>
        <w:rPr>
          <w:i/>
          <w:iCs/>
        </w:rPr>
        <w:t xml:space="preserve"> </w:t>
      </w:r>
      <w:r w:rsidRPr="00387E64">
        <w:rPr>
          <w:i/>
          <w:iCs/>
        </w:rPr>
        <w:t>tipo indennitario, collegato ad un'ipotesi tipica di responsabilità della P.A. per atti</w:t>
      </w:r>
      <w:r>
        <w:rPr>
          <w:i/>
          <w:iCs/>
        </w:rPr>
        <w:t xml:space="preserve"> </w:t>
      </w:r>
      <w:r w:rsidRPr="00387E64">
        <w:rPr>
          <w:i/>
          <w:iCs/>
        </w:rPr>
        <w:t>legittimi, è sottoposto all'ordinaria prescrizione decennale, che rimane collegata al</w:t>
      </w:r>
      <w:r>
        <w:rPr>
          <w:i/>
          <w:iCs/>
        </w:rPr>
        <w:t xml:space="preserve"> </w:t>
      </w:r>
      <w:r w:rsidRPr="00387E64">
        <w:rPr>
          <w:i/>
          <w:iCs/>
        </w:rPr>
        <w:t>compimento di ciascun anno di occupazione; e che perciò decorre dal giorno in cui ha</w:t>
      </w:r>
      <w:r>
        <w:rPr>
          <w:i/>
          <w:iCs/>
        </w:rPr>
        <w:t xml:space="preserve"> </w:t>
      </w:r>
      <w:r w:rsidRPr="00387E64">
        <w:rPr>
          <w:i/>
          <w:iCs/>
        </w:rPr>
        <w:t>termine la relativa annualità ovvero l'occupazione stessa ove antecedente alla scadenza</w:t>
      </w:r>
      <w:r>
        <w:rPr>
          <w:i/>
          <w:iCs/>
        </w:rPr>
        <w:t xml:space="preserve"> </w:t>
      </w:r>
      <w:r w:rsidRPr="00387E64">
        <w:rPr>
          <w:i/>
          <w:iCs/>
        </w:rPr>
        <w:t>dell'anno (Cass. sez. un. 27/1999; n. 715/1999, nonchè n. 1225/2002; n. 4179/2001; n.1114/1985; n. 1440/1984). Nè è possibile includerla nell'ultima previsione dell'art. 2948,</w:t>
      </w:r>
      <w:r>
        <w:rPr>
          <w:i/>
          <w:iCs/>
        </w:rPr>
        <w:t xml:space="preserve"> </w:t>
      </w:r>
      <w:r w:rsidRPr="00387E64">
        <w:rPr>
          <w:i/>
          <w:iCs/>
        </w:rPr>
        <w:t>per cui si prescrive in cinque anni "tutto ciò che deve pagarsi periodicamente ad anno o</w:t>
      </w:r>
      <w:r>
        <w:rPr>
          <w:i/>
          <w:iCs/>
        </w:rPr>
        <w:t xml:space="preserve"> </w:t>
      </w:r>
      <w:r w:rsidRPr="00387E64">
        <w:rPr>
          <w:i/>
          <w:iCs/>
        </w:rPr>
        <w:t>in termini più brevi" (n. 4), in quanto la norma si riferisce alla sola fattispecie in cui da</w:t>
      </w:r>
      <w:r>
        <w:rPr>
          <w:i/>
          <w:iCs/>
        </w:rPr>
        <w:t xml:space="preserve"> </w:t>
      </w:r>
      <w:r w:rsidRPr="00387E64">
        <w:rPr>
          <w:i/>
          <w:iCs/>
        </w:rPr>
        <w:t>un unico rapporto giuridico derivino obbligazioni con scadenza periodica non superiore</w:t>
      </w:r>
      <w:r>
        <w:rPr>
          <w:i/>
          <w:iCs/>
        </w:rPr>
        <w:t xml:space="preserve"> </w:t>
      </w:r>
      <w:r w:rsidRPr="00387E64">
        <w:rPr>
          <w:i/>
          <w:iCs/>
        </w:rPr>
        <w:t>ad un anno e non anche a quella ricorrente nel caso concreto, in cui da un unico</w:t>
      </w:r>
      <w:r>
        <w:rPr>
          <w:i/>
          <w:iCs/>
        </w:rPr>
        <w:t xml:space="preserve"> </w:t>
      </w:r>
      <w:r w:rsidRPr="00387E64">
        <w:rPr>
          <w:i/>
          <w:iCs/>
        </w:rPr>
        <w:t>provvedimento, derivino tanti rapporti autonomi, aventi durata annuale (o inferiore) e</w:t>
      </w:r>
      <w:r>
        <w:rPr>
          <w:i/>
          <w:iCs/>
        </w:rPr>
        <w:t xml:space="preserve"> </w:t>
      </w:r>
      <w:r w:rsidRPr="00387E64">
        <w:rPr>
          <w:i/>
          <w:iCs/>
        </w:rPr>
        <w:t>ciascuno con apposito indennizzo da pagarsi in un'unica soluzione e da commisurarsi</w:t>
      </w:r>
      <w:r>
        <w:rPr>
          <w:i/>
          <w:iCs/>
        </w:rPr>
        <w:t xml:space="preserve"> </w:t>
      </w:r>
      <w:r w:rsidRPr="00387E64">
        <w:rPr>
          <w:i/>
          <w:iCs/>
        </w:rPr>
        <w:t>all'indennità di espropriazione - effettiva o virtuale - dovuta se l'immobile fosse stato</w:t>
      </w:r>
      <w:r>
        <w:rPr>
          <w:i/>
          <w:iCs/>
        </w:rPr>
        <w:t xml:space="preserve"> </w:t>
      </w:r>
      <w:r w:rsidRPr="00387E64">
        <w:rPr>
          <w:i/>
          <w:iCs/>
        </w:rPr>
        <w:t>espropriato in quell'anno (Cass. 17111/2004; Cass. 6102/2001; 320/2001; 13942/1999).</w:t>
      </w:r>
      <w:r>
        <w:rPr>
          <w:i/>
          <w:iCs/>
        </w:rPr>
        <w:t xml:space="preserve"> </w:t>
      </w:r>
      <w:r w:rsidRPr="00387E64">
        <w:rPr>
          <w:i/>
          <w:iCs/>
        </w:rPr>
        <w:t>Sempre questa Corte (Cass. 3710/2019) ha successivamente ribadito che "in tema di</w:t>
      </w:r>
      <w:r>
        <w:rPr>
          <w:i/>
          <w:iCs/>
        </w:rPr>
        <w:t xml:space="preserve"> </w:t>
      </w:r>
      <w:r w:rsidRPr="00387E64">
        <w:rPr>
          <w:i/>
          <w:iCs/>
        </w:rPr>
        <w:t xml:space="preserve">occupazione di Spazi ed aree pubbliche </w:t>
      </w:r>
      <w:r w:rsidRPr="00387E64">
        <w:rPr>
          <w:i/>
          <w:iCs/>
        </w:rPr>
        <w:lastRenderedPageBreak/>
        <w:t>D.Lgs. n. 446 del 1997, ex art. 63 (come</w:t>
      </w:r>
      <w:r>
        <w:rPr>
          <w:i/>
          <w:iCs/>
        </w:rPr>
        <w:t xml:space="preserve"> </w:t>
      </w:r>
      <w:r w:rsidRPr="00387E64">
        <w:rPr>
          <w:i/>
          <w:iCs/>
        </w:rPr>
        <w:t>modificato dalla L. n. 448 del 1998, art. 31), il canone (c.d. "COSAP") rappresenta il</w:t>
      </w:r>
      <w:r>
        <w:rPr>
          <w:i/>
          <w:iCs/>
        </w:rPr>
        <w:t xml:space="preserve"> </w:t>
      </w:r>
      <w:r w:rsidRPr="00387E64">
        <w:rPr>
          <w:i/>
          <w:iCs/>
        </w:rPr>
        <w:t>corrispettivo della concessione, reale o presunta (nel caso di occupazione abusiva),</w:t>
      </w:r>
      <w:r>
        <w:rPr>
          <w:i/>
          <w:iCs/>
        </w:rPr>
        <w:t xml:space="preserve"> </w:t>
      </w:r>
      <w:r w:rsidRPr="00387E64">
        <w:rPr>
          <w:i/>
          <w:iCs/>
        </w:rPr>
        <w:t>dell'uso esclusivo o speciale di beni pubblici e, quindi, trovando titolo in diversi e</w:t>
      </w:r>
      <w:r>
        <w:rPr>
          <w:i/>
          <w:iCs/>
        </w:rPr>
        <w:t xml:space="preserve"> </w:t>
      </w:r>
      <w:r w:rsidRPr="00387E64">
        <w:rPr>
          <w:i/>
          <w:iCs/>
        </w:rPr>
        <w:t>specifici provvedimenti e non in un unico provvedimento fonte dell'obbligazione, non</w:t>
      </w:r>
      <w:r>
        <w:rPr>
          <w:i/>
          <w:iCs/>
        </w:rPr>
        <w:t xml:space="preserve"> </w:t>
      </w:r>
      <w:r w:rsidRPr="00387E64">
        <w:rPr>
          <w:i/>
          <w:iCs/>
        </w:rPr>
        <w:t>è assimilabile al canone locatizio, con la conseguenza che il relativo credito non soggiace</w:t>
      </w:r>
      <w:r>
        <w:rPr>
          <w:i/>
          <w:iCs/>
        </w:rPr>
        <w:t xml:space="preserve"> </w:t>
      </w:r>
      <w:r w:rsidRPr="00387E64">
        <w:rPr>
          <w:i/>
          <w:iCs/>
        </w:rPr>
        <w:t>alla prescrizione breve di cui all'art. 2948 c.c.".</w:t>
      </w:r>
    </w:p>
    <w:p w14:paraId="26AEE052" w14:textId="22EA132C" w:rsidR="00387E64" w:rsidRDefault="00387E64" w:rsidP="00387E64">
      <w:pPr>
        <w:jc w:val="both"/>
      </w:pPr>
      <w:r>
        <w:t xml:space="preserve">Queste </w:t>
      </w:r>
      <w:r w:rsidR="00FE61F2">
        <w:t xml:space="preserve">ulteriori </w:t>
      </w:r>
      <w:r>
        <w:t xml:space="preserve">considerazioni sono molto interessanti perché di fatto possono essere </w:t>
      </w:r>
      <w:r w:rsidR="002356DA">
        <w:t xml:space="preserve">tranquillamente </w:t>
      </w:r>
      <w:r>
        <w:t xml:space="preserve">replicate in materia di Canone Unico, che </w:t>
      </w:r>
      <w:r w:rsidR="00FE61F2">
        <w:t>parimenti a Cosap</w:t>
      </w:r>
      <w:r>
        <w:t xml:space="preserve"> non sarebbe </w:t>
      </w:r>
      <w:r w:rsidR="00B22864">
        <w:t xml:space="preserve">pertanto </w:t>
      </w:r>
      <w:r w:rsidRPr="00387E64">
        <w:t xml:space="preserve">assimilabile </w:t>
      </w:r>
      <w:r w:rsidR="00B22864" w:rsidRPr="00387E64">
        <w:t>né</w:t>
      </w:r>
      <w:r w:rsidRPr="00387E64">
        <w:t xml:space="preserve"> al canone di locazione né alle altre prestazioni periodiche di cui all'art. 2948 c.c., n. 1, 1 bis e 2, in quanto assolve alla funzione di compensare "medio tempore", per tutta la durata dello stato di indisponibilità del bene, il </w:t>
      </w:r>
      <w:r w:rsidR="00B22864">
        <w:t>sacrificio imposto alla collettività</w:t>
      </w:r>
      <w:r w:rsidRPr="00387E64">
        <w:t xml:space="preserve"> dato dal suo mancato godimento</w:t>
      </w:r>
      <w:r w:rsidR="00B22864">
        <w:t>. I</w:t>
      </w:r>
      <w:r w:rsidRPr="00387E64">
        <w:t xml:space="preserve">ngenerando </w:t>
      </w:r>
      <w:r w:rsidR="00FE61F2">
        <w:t xml:space="preserve">così </w:t>
      </w:r>
      <w:r w:rsidRPr="00387E64">
        <w:t>un'obbligazione di tipo indennitario</w:t>
      </w:r>
      <w:r w:rsidR="00B22864">
        <w:t xml:space="preserve">, portando di </w:t>
      </w:r>
      <w:r>
        <w:t>conseguenza a ritenere</w:t>
      </w:r>
      <w:r w:rsidR="00B22864">
        <w:t xml:space="preserve"> che</w:t>
      </w:r>
      <w:r w:rsidR="00FE61F2">
        <w:t xml:space="preserve"> anche</w:t>
      </w:r>
      <w:r>
        <w:t xml:space="preserve"> il Canone Unico </w:t>
      </w:r>
      <w:r w:rsidR="00B22864">
        <w:t xml:space="preserve">sia </w:t>
      </w:r>
      <w:r w:rsidRPr="00387E64">
        <w:t>sottoposto all'ordinaria prescrizione decennale</w:t>
      </w:r>
      <w:r>
        <w:t>.</w:t>
      </w:r>
    </w:p>
    <w:p w14:paraId="29CE990D" w14:textId="768C058B" w:rsidR="00FE61F2" w:rsidRDefault="00FE61F2" w:rsidP="00387E64">
      <w:pPr>
        <w:jc w:val="both"/>
      </w:pPr>
      <w:r>
        <w:t>Gli effetti di questa linea interpretativa adottata dalla suprema Corte di Cassazione</w:t>
      </w:r>
      <w:r w:rsidR="002356DA">
        <w:t>,</w:t>
      </w:r>
      <w:r>
        <w:t xml:space="preserve"> in </w:t>
      </w:r>
      <w:r w:rsidR="002356DA">
        <w:t>chiave di lettura sul</w:t>
      </w:r>
      <w:r>
        <w:t xml:space="preserve"> Canone Unico, </w:t>
      </w:r>
      <w:r w:rsidR="002356DA">
        <w:t>li vedremo</w:t>
      </w:r>
      <w:r w:rsidR="002356DA">
        <w:t xml:space="preserve"> </w:t>
      </w:r>
      <w:r>
        <w:t xml:space="preserve">tra molti anni, tuttavia è bene porre </w:t>
      </w:r>
      <w:r w:rsidR="002356DA">
        <w:t xml:space="preserve">già </w:t>
      </w:r>
      <w:r>
        <w:t>dei punti fermi su questa disciplina che ad oggi ha generato più dubbi che certezze.</w:t>
      </w:r>
    </w:p>
    <w:p w14:paraId="577371ED" w14:textId="77777777" w:rsidR="00881E74" w:rsidRDefault="00881E74" w:rsidP="00387E64">
      <w:pPr>
        <w:jc w:val="both"/>
      </w:pPr>
    </w:p>
    <w:p w14:paraId="0FA37C67" w14:textId="77777777" w:rsidR="00881E74" w:rsidRDefault="00881E74" w:rsidP="00881E74">
      <w:r>
        <w:t xml:space="preserve">Allegata sentenza di Cassazione </w:t>
      </w:r>
      <w:r w:rsidRPr="00270EFD">
        <w:t>Sez I – Ordinanza 9880 del 13/4/2023</w:t>
      </w:r>
    </w:p>
    <w:p w14:paraId="5E843522" w14:textId="0DE83FAE" w:rsidR="00881E74" w:rsidRDefault="00881E74" w:rsidP="00387E64">
      <w:pPr>
        <w:jc w:val="both"/>
      </w:pPr>
    </w:p>
    <w:p w14:paraId="5F385077" w14:textId="1CCA97D2" w:rsidR="00387E64" w:rsidRPr="00387E64" w:rsidRDefault="002356DA" w:rsidP="00387E64">
      <w:pPr>
        <w:jc w:val="both"/>
        <w:rPr>
          <w:i/>
          <w:iCs/>
        </w:rPr>
      </w:pPr>
      <w:hyperlink r:id="rId4" w:history="1">
        <w:r w:rsidR="00881E74">
          <w:rPr>
            <w:i/>
            <w:iCs/>
          </w:rPr>
          <w:object w:dxaOrig="1544" w:dyaOrig="990" w14:anchorId="54C26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4pt;height:43.8pt" o:ole="">
              <v:imagedata r:id="rId5" o:title=""/>
            </v:shape>
            <o:OLEObject Type="Embed" ProgID="Acrobat.Document.DC" ShapeID="_x0000_i1025" DrawAspect="Icon" ObjectID="_1744902406" r:id="rId6"/>
          </w:object>
        </w:r>
      </w:hyperlink>
    </w:p>
    <w:sectPr w:rsidR="00387E64" w:rsidRPr="00387E6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33"/>
    <w:rsid w:val="00054133"/>
    <w:rsid w:val="00060149"/>
    <w:rsid w:val="002356DA"/>
    <w:rsid w:val="00270EFD"/>
    <w:rsid w:val="00387E64"/>
    <w:rsid w:val="00881E74"/>
    <w:rsid w:val="00B22864"/>
    <w:rsid w:val="00BA384C"/>
    <w:rsid w:val="00FE61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A94E4D"/>
  <w15:chartTrackingRefBased/>
  <w15:docId w15:val="{AF97CAB4-1E39-4632-B90B-73B5BD34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hyperlink" Target="Cassazione-Sez-I-Ordinanza-9880-del-13042023.pdf"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910</Words>
  <Characters>5191</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6</cp:revision>
  <dcterms:created xsi:type="dcterms:W3CDTF">2023-05-03T14:25:00Z</dcterms:created>
  <dcterms:modified xsi:type="dcterms:W3CDTF">2023-05-06T16:20:00Z</dcterms:modified>
</cp:coreProperties>
</file>