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3BEFF" w14:textId="061DE336" w:rsidR="00060149" w:rsidRDefault="00B6186E">
      <w:r>
        <w:t xml:space="preserve">Titolo: </w:t>
      </w:r>
      <w:r w:rsidRPr="00B6186E">
        <w:t>L'indennità</w:t>
      </w:r>
      <w:r w:rsidR="009047E8">
        <w:t xml:space="preserve"> CUP</w:t>
      </w:r>
      <w:r w:rsidRPr="00B6186E">
        <w:t xml:space="preserve"> </w:t>
      </w:r>
      <w:r w:rsidR="009047E8">
        <w:t>va calcolata solo sulla superficie</w:t>
      </w:r>
      <w:r w:rsidR="008055F2">
        <w:t xml:space="preserve"> </w:t>
      </w:r>
      <w:r w:rsidR="009047E8">
        <w:t>eccedente quella autorizzata</w:t>
      </w:r>
    </w:p>
    <w:p w14:paraId="18904C46" w14:textId="255E1BF4" w:rsidR="00B6186E" w:rsidRDefault="00B6186E">
      <w:r>
        <w:t>Di Alessandro Merciari</w:t>
      </w:r>
    </w:p>
    <w:p w14:paraId="1E8360CE" w14:textId="62D4E1F9" w:rsidR="00B6186E" w:rsidRDefault="00B6186E" w:rsidP="00B6186E">
      <w:pPr>
        <w:jc w:val="both"/>
      </w:pPr>
      <w:r>
        <w:t xml:space="preserve">La </w:t>
      </w:r>
      <w:r w:rsidRPr="00B6186E">
        <w:t xml:space="preserve">Corte D’ Appello di Milano </w:t>
      </w:r>
      <w:r>
        <w:t>con la s</w:t>
      </w:r>
      <w:r w:rsidRPr="00B6186E">
        <w:t xml:space="preserve">entenza </w:t>
      </w:r>
      <w:r>
        <w:t xml:space="preserve">numero </w:t>
      </w:r>
      <w:r w:rsidRPr="00B6186E">
        <w:t>1360 del 13/5/2025</w:t>
      </w:r>
      <w:r>
        <w:t xml:space="preserve"> affronta </w:t>
      </w:r>
      <w:r w:rsidR="008055F2">
        <w:t xml:space="preserve">il criterio di applicazione </w:t>
      </w:r>
      <w:r>
        <w:t xml:space="preserve">dell’indennità, quella </w:t>
      </w:r>
      <w:r w:rsidR="008055F2">
        <w:t xml:space="preserve">speciale </w:t>
      </w:r>
      <w:r>
        <w:t>forma di recupero del canone da utilizzare tutte le volte che viene rilevata un’occupazione di suolo pubblico o un’esposizione pubblicitaria abusiva, ovvero realizzata senza titolo o in modo difforme dalla concessione o autorizzazione rilasciata dall’Ente proprietario della strada</w:t>
      </w:r>
      <w:r w:rsidR="008055F2">
        <w:t>.</w:t>
      </w:r>
    </w:p>
    <w:p w14:paraId="5974918F" w14:textId="66EB2657" w:rsidR="00691A38" w:rsidRDefault="00B6186E" w:rsidP="00B6186E">
      <w:pPr>
        <w:jc w:val="both"/>
      </w:pPr>
      <w:r>
        <w:t>I giudici</w:t>
      </w:r>
      <w:r w:rsidR="008055F2">
        <w:t xml:space="preserve"> milanesi</w:t>
      </w:r>
      <w:r>
        <w:t xml:space="preserve"> </w:t>
      </w:r>
      <w:r w:rsidR="004C1070">
        <w:t xml:space="preserve">in particolare </w:t>
      </w:r>
      <w:r>
        <w:t xml:space="preserve">affrontano il corretto approccio che deve essere seguito quando il titolare di una concessione effettua un’occupazione di superficie superiore a quanto </w:t>
      </w:r>
      <w:r w:rsidR="004C1070">
        <w:t>previsto</w:t>
      </w:r>
      <w:r w:rsidR="008055F2">
        <w:t xml:space="preserve"> nell’atto amministrativo, innescando un calcolo dell’indennità parziale rispetto all’intera superficie occupata.</w:t>
      </w:r>
    </w:p>
    <w:p w14:paraId="2C16AE3A" w14:textId="5DFB3DC0" w:rsidR="008055F2" w:rsidRPr="008055F2" w:rsidRDefault="008055F2" w:rsidP="00B6186E">
      <w:pPr>
        <w:jc w:val="both"/>
        <w:rPr>
          <w:b/>
          <w:bCs/>
        </w:rPr>
      </w:pPr>
      <w:r>
        <w:rPr>
          <w:b/>
          <w:bCs/>
        </w:rPr>
        <w:t>Analisi normativa</w:t>
      </w:r>
    </w:p>
    <w:p w14:paraId="353FF2B6" w14:textId="32C18032" w:rsidR="00691A38" w:rsidRPr="00691A38" w:rsidRDefault="004C1070" w:rsidP="00691A38">
      <w:pPr>
        <w:jc w:val="both"/>
      </w:pPr>
      <w:r>
        <w:t xml:space="preserve">Prima di analizzare le motivazioni della sentenza, ripercorriamo la genesi dell’indennità </w:t>
      </w:r>
      <w:r w:rsidR="008055F2">
        <w:t>all’interno della</w:t>
      </w:r>
      <w:r>
        <w:t xml:space="preserve"> disciplina </w:t>
      </w:r>
      <w:r w:rsidR="00691A38" w:rsidRPr="00691A38">
        <w:t>del Canone Unico Patrimoniale</w:t>
      </w:r>
      <w:r>
        <w:t>, rappresentando senza dubbio</w:t>
      </w:r>
      <w:r w:rsidR="00691A38" w:rsidRPr="00691A38">
        <w:t xml:space="preserve"> uno dei passaggi normativi di maggior interesse </w:t>
      </w:r>
      <w:r>
        <w:t>che ritroviamo al</w:t>
      </w:r>
      <w:r w:rsidR="00691A38" w:rsidRPr="00691A38">
        <w:t>la lettera G del comma 821 della Legge 160/201</w:t>
      </w:r>
      <w:r>
        <w:t xml:space="preserve">. Il comma dedicato </w:t>
      </w:r>
      <w:r w:rsidR="008055F2">
        <w:t>alle disposizioni</w:t>
      </w:r>
      <w:r>
        <w:t xml:space="preserve"> regolamentari che devono essere adottate dai comuni, prevede proprio</w:t>
      </w:r>
      <w:r w:rsidR="00691A38" w:rsidRPr="00691A38">
        <w:t xml:space="preserve"> </w:t>
      </w:r>
      <w:r w:rsidR="008055F2">
        <w:t>la disciplina del</w:t>
      </w:r>
      <w:r w:rsidR="00691A38" w:rsidRPr="00691A38">
        <w:t>l’indennità da applicarsi in caso di occupazioni ed esposizioni abusive, realizzate senza titolo o in modo difforme</w:t>
      </w:r>
      <w:r w:rsidR="008055F2">
        <w:t xml:space="preserve"> da esso</w:t>
      </w:r>
      <w:r w:rsidR="00691A38" w:rsidRPr="00691A38">
        <w:t xml:space="preserve"> e rilevate a seguito di verbale redatto da pubblico ufficiale. </w:t>
      </w:r>
    </w:p>
    <w:p w14:paraId="714F0EC0" w14:textId="77777777" w:rsidR="00691A38" w:rsidRPr="00691A38" w:rsidRDefault="00691A38" w:rsidP="00691A38">
      <w:pPr>
        <w:jc w:val="both"/>
        <w:rPr>
          <w:i/>
          <w:iCs/>
        </w:rPr>
      </w:pPr>
      <w:r w:rsidRPr="00691A38">
        <w:t>Il comma testualmente prevede come gli enti debbano disciplinare all’interno del proprio Regolamento l’ipotesi di applicazione dell’indennità e il criterio del suo calcolo a seconda della natura dell’abuso accertato da parte del pubblico ufficiale: “</w:t>
      </w:r>
      <w:r w:rsidRPr="00691A38">
        <w:rPr>
          <w:i/>
          <w:iCs/>
        </w:rPr>
        <w:t xml:space="preserve">per le occupazioni e la diffusione di messaggi pubblicitari realizzate abusivamente, la previsione di un’indennità pari al canone maggiorato fino al 50 per cento, considerando permanenti le occupazioni e la diffusione di messaggi pubblicitari realizzate con impianti o manufatti di carattere stabile e presumendo come temporanee le occupazioni e la diffusione di messaggi pubblicitari effettuate dal trentesimo giorno antecedente la data del verbale di accertamento, redatto da competente pubblico ufficiale;” </w:t>
      </w:r>
    </w:p>
    <w:p w14:paraId="00F5C567" w14:textId="77777777" w:rsidR="00691A38" w:rsidRPr="00691A38" w:rsidRDefault="00691A38" w:rsidP="00691A38">
      <w:pPr>
        <w:jc w:val="both"/>
      </w:pPr>
      <w:r w:rsidRPr="00691A38">
        <w:t xml:space="preserve">Il Legislatore ha voluto espressamente prevedere il criterio di calcolo da adottare partendo da quello che sarebbe stato il canone da versare nel caso in cui l’occupazione o la diffusione pubblicitaria rilevata fosse stata regolarmente dichiarata e provvista di titolo amministrativo, lasciando ai singoli enti locali la percentuale di maggiorazione da applicare, fino ad un massimo del 50 per cento. </w:t>
      </w:r>
    </w:p>
    <w:p w14:paraId="6FA2B863" w14:textId="77777777" w:rsidR="00691A38" w:rsidRPr="00691A38" w:rsidRDefault="00691A38" w:rsidP="00691A38">
      <w:pPr>
        <w:jc w:val="both"/>
      </w:pPr>
      <w:r w:rsidRPr="00691A38">
        <w:t xml:space="preserve">In particolare, per le occupazioni e la diffusione di messaggi pubblicitari realizzate con impianti o manufatti di carattere stabile, è stato disposto di adottare la tariffa permanente, ovvero quella definita ad anno solare, il cui importo è stato fissato al comma 826 della L. 160/2019, ma che ogni ente potrà modificare in base ai propri equilibri, mentre, per le occupazioni di carattere temporaneo, il Legislatore ha adottato un criterio di calcolo basato su una finzione giuridica, ovvero ipotizzando la durata dell’occupazione o dell’esposizione pubblicitaria temporanea come se fosse stata realizzata nei trenta giorni antecedenti alla data del verbale di accertamento. </w:t>
      </w:r>
    </w:p>
    <w:p w14:paraId="07805839" w14:textId="4518C942" w:rsidR="00B6186E" w:rsidRDefault="00691A38" w:rsidP="00691A38">
      <w:pPr>
        <w:jc w:val="both"/>
      </w:pPr>
      <w:r w:rsidRPr="00691A38">
        <w:t xml:space="preserve">Una misura quest’ultima che deve intendersi </w:t>
      </w:r>
      <w:r>
        <w:t xml:space="preserve">con </w:t>
      </w:r>
      <w:r w:rsidRPr="00691A38">
        <w:t>presunzione iuris et de iure</w:t>
      </w:r>
      <w:r>
        <w:t>,</w:t>
      </w:r>
      <w:r w:rsidRPr="00691A38">
        <w:t xml:space="preserve"> </w:t>
      </w:r>
      <w:r>
        <w:t xml:space="preserve">non ammettendo prova contraria trattandosi di una </w:t>
      </w:r>
      <w:r w:rsidRPr="00691A38">
        <w:t>modalità di calcolo afflittiva nei confronti del trasgressore che ha occupato/esposto abusivamente. Un metodo di calcolo che si rende necessario per non svilire l’attività di accertamento che viceversa dovrebbe eseguirsi solo in funzione della data in cui è stata accertata l’occupazione o l’esposizione pubblicitaria abusiva.</w:t>
      </w:r>
      <w:r w:rsidR="00B6186E">
        <w:t xml:space="preserve"> </w:t>
      </w:r>
    </w:p>
    <w:p w14:paraId="72C5DC64" w14:textId="2C983FA4" w:rsidR="008055F2" w:rsidRPr="008055F2" w:rsidRDefault="00831824" w:rsidP="00691A38">
      <w:pPr>
        <w:jc w:val="both"/>
        <w:rPr>
          <w:b/>
          <w:bCs/>
        </w:rPr>
      </w:pPr>
      <w:r>
        <w:rPr>
          <w:b/>
          <w:bCs/>
        </w:rPr>
        <w:t>La</w:t>
      </w:r>
      <w:r w:rsidR="008055F2" w:rsidRPr="008055F2">
        <w:rPr>
          <w:b/>
          <w:bCs/>
        </w:rPr>
        <w:t xml:space="preserve"> sentenza</w:t>
      </w:r>
    </w:p>
    <w:p w14:paraId="5D5AADAF" w14:textId="5FAD736A" w:rsidR="004C1070" w:rsidRDefault="004C1070" w:rsidP="004C1070">
      <w:pPr>
        <w:jc w:val="both"/>
        <w:rPr>
          <w:i/>
          <w:iCs/>
        </w:rPr>
      </w:pPr>
      <w:r>
        <w:t>Scrivono i giudici della Corte d’Appello milanese: “</w:t>
      </w:r>
      <w:r w:rsidRPr="004C1070">
        <w:rPr>
          <w:i/>
          <w:iCs/>
        </w:rPr>
        <w:t xml:space="preserve">L’indennità prevista dalla lett. a) cit. è parametrata, con una maggiorazione, al canone che in astratto sarebbe dovuto per un’occupazione legittima della stessa porzione, </w:t>
      </w:r>
      <w:r w:rsidRPr="004C1070">
        <w:rPr>
          <w:i/>
          <w:iCs/>
        </w:rPr>
        <w:lastRenderedPageBreak/>
        <w:t>senza interferenze con il canone in concreto dovuto per l’occupazione legittima di altra porzione. 4.2. Risulta, pertanto, non condivisibile il rilievo del Tribunale contenuto nella sentenza appellata, secondo cui, essendo l’indennità di cui alla lett. a) distinta dalle sanzioni previste dalla lett. b) e dalla lett. c), si dovrebbe “tenere conto di quanto già versato dall’opponente per l’occupazione lecita di parte dello spazio, onde evitare di imputare al medesimo soggetto più importi per il medesimo fatto”. L’indennità dovuta al Comune, calcolata in relazione ai metri quadri occupati senza autorizzazione, rimane, infatti, distinta dal canone versato per l’occupazione legittima, sicché, ai fini della determinazione, non sarebbe corretto tener conto di quanto già versato per l’occupazione lecita di (altra) parte dello spazio.</w:t>
      </w:r>
      <w:r>
        <w:rPr>
          <w:i/>
          <w:iCs/>
        </w:rPr>
        <w:t>”</w:t>
      </w:r>
    </w:p>
    <w:p w14:paraId="35715483" w14:textId="40E781CB" w:rsidR="004C1070" w:rsidRDefault="004C1070" w:rsidP="004C1070">
      <w:pPr>
        <w:jc w:val="both"/>
      </w:pPr>
      <w:r>
        <w:t>È chiaro</w:t>
      </w:r>
      <w:r w:rsidR="008055F2">
        <w:t>, secondo le indicazioni della Corte d’Appello, come</w:t>
      </w:r>
      <w:r>
        <w:t xml:space="preserve"> il calcolo dell’indennità debba riguardare solo la superficie eccedente quella autorizzata che </w:t>
      </w:r>
      <w:r w:rsidR="008055F2">
        <w:t>chiaramente era</w:t>
      </w:r>
      <w:r>
        <w:t xml:space="preserve"> </w:t>
      </w:r>
      <w:r w:rsidR="008055F2">
        <w:t xml:space="preserve">già stata </w:t>
      </w:r>
      <w:r>
        <w:t xml:space="preserve">oggetto di calcolo in base alle tariffe </w:t>
      </w:r>
      <w:r w:rsidR="008055F2">
        <w:t xml:space="preserve">“ordinarie” </w:t>
      </w:r>
      <w:r>
        <w:t>del canone deliberat</w:t>
      </w:r>
      <w:r w:rsidR="008055F2">
        <w:t>e</w:t>
      </w:r>
      <w:r>
        <w:t xml:space="preserve"> dal Comune.</w:t>
      </w:r>
    </w:p>
    <w:p w14:paraId="511B697B" w14:textId="4EC113F5" w:rsidR="00831824" w:rsidRPr="00831824" w:rsidRDefault="00831824" w:rsidP="004C1070">
      <w:pPr>
        <w:jc w:val="both"/>
        <w:rPr>
          <w:b/>
          <w:bCs/>
        </w:rPr>
      </w:pPr>
      <w:r w:rsidRPr="00831824">
        <w:rPr>
          <w:b/>
          <w:bCs/>
        </w:rPr>
        <w:t xml:space="preserve">Conclusioni </w:t>
      </w:r>
    </w:p>
    <w:p w14:paraId="582A7D84" w14:textId="77777777" w:rsidR="003B2A68" w:rsidRDefault="00831824" w:rsidP="004C1070">
      <w:pPr>
        <w:jc w:val="both"/>
      </w:pPr>
      <w:r>
        <w:t>In definitiva possiamo affermare che i</w:t>
      </w:r>
      <w:r w:rsidR="008055F2">
        <w:t xml:space="preserve">n caso di occupazione parzialmente abusiva, perché eccedente la metratura </w:t>
      </w:r>
      <w:r>
        <w:t xml:space="preserve">di </w:t>
      </w:r>
      <w:r w:rsidR="008055F2">
        <w:t xml:space="preserve">quanto </w:t>
      </w:r>
      <w:r>
        <w:t xml:space="preserve">originariamente </w:t>
      </w:r>
      <w:r w:rsidR="008055F2">
        <w:t>autorizzato, la richiesta di pagamento</w:t>
      </w:r>
      <w:r w:rsidR="00002D9E">
        <w:t>,</w:t>
      </w:r>
      <w:r w:rsidR="008055F2">
        <w:t xml:space="preserve"> da effettuarsi a mezzo Avviso di Accertamento ex comma 792 della L. 160/2019, dovrà considerare solo la maggior superficie occupata ed applicare conseguentemente il calcolo dell’indennità basato sulla corrispondente tariffa CUP maggiorata fino al 50%. </w:t>
      </w:r>
    </w:p>
    <w:p w14:paraId="74C852AD" w14:textId="2B184C67" w:rsidR="008055F2" w:rsidRDefault="004F7EEA" w:rsidP="004C1070">
      <w:pPr>
        <w:jc w:val="both"/>
      </w:pPr>
      <w:r>
        <w:t>Sarebbe</w:t>
      </w:r>
      <w:r w:rsidR="008055F2">
        <w:t xml:space="preserve"> </w:t>
      </w:r>
      <w:r w:rsidR="003B2A68">
        <w:t xml:space="preserve">a questo punto </w:t>
      </w:r>
      <w:r w:rsidR="008055F2">
        <w:t xml:space="preserve">sbagliato qualsiasi diverso approccio, come ad esempio </w:t>
      </w:r>
      <w:r w:rsidR="003B2A68">
        <w:t xml:space="preserve">quello di </w:t>
      </w:r>
      <w:r w:rsidR="008055F2">
        <w:t xml:space="preserve">considerare l’intera superficie </w:t>
      </w:r>
      <w:r w:rsidR="001229F1">
        <w:t xml:space="preserve">occupata </w:t>
      </w:r>
      <w:r w:rsidR="008055F2">
        <w:t xml:space="preserve">come </w:t>
      </w:r>
      <w:r w:rsidR="003B2A68">
        <w:t>coinvolta dall’abuso</w:t>
      </w:r>
      <w:r w:rsidR="008055F2">
        <w:t xml:space="preserve">, calcolando </w:t>
      </w:r>
      <w:r w:rsidR="003B2A68">
        <w:t xml:space="preserve">di conseguenza </w:t>
      </w:r>
      <w:r w:rsidR="008055F2">
        <w:t>l’indennità su tutta l’area</w:t>
      </w:r>
      <w:r w:rsidR="003B2A68">
        <w:t xml:space="preserve"> occupata</w:t>
      </w:r>
      <w:r>
        <w:t xml:space="preserve">, anche per quella parte </w:t>
      </w:r>
      <w:r w:rsidR="003B2A68">
        <w:t xml:space="preserve">per la quale era stata ottenuta </w:t>
      </w:r>
      <w:r>
        <w:t>regola</w:t>
      </w:r>
      <w:r w:rsidR="003B2A68">
        <w:t>r</w:t>
      </w:r>
      <w:r>
        <w:t>m</w:t>
      </w:r>
      <w:r w:rsidR="003B2A68">
        <w:t>ente</w:t>
      </w:r>
      <w:r>
        <w:t xml:space="preserve"> </w:t>
      </w:r>
      <w:r w:rsidR="003B2A68">
        <w:t>l’autorizzazione</w:t>
      </w:r>
      <w:r>
        <w:t xml:space="preserve">, </w:t>
      </w:r>
      <w:r w:rsidR="008055F2">
        <w:t xml:space="preserve">e considerare </w:t>
      </w:r>
      <w:r w:rsidR="001229F1">
        <w:t xml:space="preserve">di conseguenza </w:t>
      </w:r>
      <w:r w:rsidR="008055F2">
        <w:t>quanto già versato a titolo di canone come acconto sulla nuova somma dovuta</w:t>
      </w:r>
      <w:r w:rsidR="001229F1">
        <w:t>.</w:t>
      </w:r>
    </w:p>
    <w:p w14:paraId="19A31240" w14:textId="77777777" w:rsidR="001229F1" w:rsidRPr="004C1070" w:rsidRDefault="001229F1" w:rsidP="004C1070">
      <w:pPr>
        <w:jc w:val="both"/>
      </w:pPr>
    </w:p>
    <w:sectPr w:rsidR="001229F1" w:rsidRPr="004C10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419"/>
    <w:rsid w:val="00002D9E"/>
    <w:rsid w:val="0003043A"/>
    <w:rsid w:val="00060149"/>
    <w:rsid w:val="001229F1"/>
    <w:rsid w:val="003B2A68"/>
    <w:rsid w:val="004C1070"/>
    <w:rsid w:val="004F7EEA"/>
    <w:rsid w:val="00691A38"/>
    <w:rsid w:val="007B1496"/>
    <w:rsid w:val="008055F2"/>
    <w:rsid w:val="00823419"/>
    <w:rsid w:val="00831824"/>
    <w:rsid w:val="009047E8"/>
    <w:rsid w:val="00AE104B"/>
    <w:rsid w:val="00B6186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2E7E8"/>
  <w15:chartTrackingRefBased/>
  <w15:docId w15:val="{F488BCE7-4FE9-4F39-8652-A86CBA360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234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8234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823419"/>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823419"/>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823419"/>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82341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2341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2341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2341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23419"/>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823419"/>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823419"/>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823419"/>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823419"/>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82341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2341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2341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23419"/>
    <w:rPr>
      <w:rFonts w:eastAsiaTheme="majorEastAsia" w:cstheme="majorBidi"/>
      <w:color w:val="272727" w:themeColor="text1" w:themeTint="D8"/>
    </w:rPr>
  </w:style>
  <w:style w:type="paragraph" w:styleId="Titolo">
    <w:name w:val="Title"/>
    <w:basedOn w:val="Normale"/>
    <w:next w:val="Normale"/>
    <w:link w:val="TitoloCarattere"/>
    <w:uiPriority w:val="10"/>
    <w:qFormat/>
    <w:rsid w:val="008234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2341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2341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2341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2341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23419"/>
    <w:rPr>
      <w:i/>
      <w:iCs/>
      <w:color w:val="404040" w:themeColor="text1" w:themeTint="BF"/>
    </w:rPr>
  </w:style>
  <w:style w:type="paragraph" w:styleId="Paragrafoelenco">
    <w:name w:val="List Paragraph"/>
    <w:basedOn w:val="Normale"/>
    <w:uiPriority w:val="34"/>
    <w:qFormat/>
    <w:rsid w:val="00823419"/>
    <w:pPr>
      <w:ind w:left="720"/>
      <w:contextualSpacing/>
    </w:pPr>
  </w:style>
  <w:style w:type="character" w:styleId="Enfasiintensa">
    <w:name w:val="Intense Emphasis"/>
    <w:basedOn w:val="Carpredefinitoparagrafo"/>
    <w:uiPriority w:val="21"/>
    <w:qFormat/>
    <w:rsid w:val="00823419"/>
    <w:rPr>
      <w:i/>
      <w:iCs/>
      <w:color w:val="2F5496" w:themeColor="accent1" w:themeShade="BF"/>
    </w:rPr>
  </w:style>
  <w:style w:type="paragraph" w:styleId="Citazioneintensa">
    <w:name w:val="Intense Quote"/>
    <w:basedOn w:val="Normale"/>
    <w:next w:val="Normale"/>
    <w:link w:val="CitazioneintensaCarattere"/>
    <w:uiPriority w:val="30"/>
    <w:qFormat/>
    <w:rsid w:val="008234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823419"/>
    <w:rPr>
      <w:i/>
      <w:iCs/>
      <w:color w:val="2F5496" w:themeColor="accent1" w:themeShade="BF"/>
    </w:rPr>
  </w:style>
  <w:style w:type="character" w:styleId="Riferimentointenso">
    <w:name w:val="Intense Reference"/>
    <w:basedOn w:val="Carpredefinitoparagrafo"/>
    <w:uiPriority w:val="32"/>
    <w:qFormat/>
    <w:rsid w:val="008234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2</Pages>
  <Words>889</Words>
  <Characters>5070</Characters>
  <Application>Microsoft Office Word</Application>
  <DocSecurity>0</DocSecurity>
  <Lines>42</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7</cp:revision>
  <dcterms:created xsi:type="dcterms:W3CDTF">2025-07-08T09:50:00Z</dcterms:created>
  <dcterms:modified xsi:type="dcterms:W3CDTF">2025-07-11T08:44:00Z</dcterms:modified>
</cp:coreProperties>
</file>