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7FE53" w14:textId="73E189EC" w:rsidR="00060149" w:rsidRDefault="00470BBB">
      <w:r>
        <w:t xml:space="preserve">TITOLO: La dicatio ad patriam </w:t>
      </w:r>
      <w:r w:rsidR="001B4DD4">
        <w:t xml:space="preserve">quale </w:t>
      </w:r>
      <w:r>
        <w:t>presupposto per applicare il CUP</w:t>
      </w:r>
    </w:p>
    <w:p w14:paraId="0F09CA4B" w14:textId="6D6BE931" w:rsidR="00470BBB" w:rsidRDefault="00470BBB">
      <w:r>
        <w:t>Di Alessandro Merciari</w:t>
      </w:r>
    </w:p>
    <w:p w14:paraId="5EF5A713" w14:textId="77777777" w:rsidR="00470BBB" w:rsidRDefault="00470BBB"/>
    <w:p w14:paraId="4D33FCFD" w14:textId="69FD9957" w:rsidR="00470BBB" w:rsidRDefault="00470BBB" w:rsidP="00470BBB">
      <w:pPr>
        <w:jc w:val="both"/>
      </w:pPr>
      <w:r>
        <w:t xml:space="preserve">Una recentissima sentenza del Tribunale di Pescara </w:t>
      </w:r>
      <w:r w:rsidR="007D5E12">
        <w:t>rappresenta</w:t>
      </w:r>
      <w:r>
        <w:t xml:space="preserve"> l’occasione per rivalutare l’ambito di formazione del presupposto CUP per la componente di occupazione suolo pubblico, che deve </w:t>
      </w:r>
      <w:r w:rsidR="007D5E12">
        <w:t xml:space="preserve">necessariamente </w:t>
      </w:r>
      <w:r>
        <w:t>coinvolgere anche le occupazioni realizzate su aree private soggette a servitù pubblica.</w:t>
      </w:r>
    </w:p>
    <w:p w14:paraId="4A2FE293" w14:textId="22CD735F" w:rsidR="00470BBB" w:rsidRDefault="00470BBB" w:rsidP="00470BBB">
      <w:pPr>
        <w:jc w:val="both"/>
      </w:pPr>
      <w:r>
        <w:t>Fin dalla sua istituzione</w:t>
      </w:r>
      <w:r>
        <w:t xml:space="preserve">, una delle questioni che ha fatto più discutere </w:t>
      </w:r>
      <w:r>
        <w:t xml:space="preserve">in materia di CUP, </w:t>
      </w:r>
      <w:r>
        <w:t>è stato il mancato</w:t>
      </w:r>
      <w:r>
        <w:t xml:space="preserve"> </w:t>
      </w:r>
      <w:r>
        <w:t>richiamo nel presupposto applicativo delle occupazioni realizzate sulle aree private gravate da</w:t>
      </w:r>
      <w:r>
        <w:t xml:space="preserve"> </w:t>
      </w:r>
      <w:r>
        <w:t>servitù di pubblico passaggio</w:t>
      </w:r>
      <w:r>
        <w:t>, tuttavia, f</w:t>
      </w:r>
      <w:r w:rsidRPr="00470BBB">
        <w:t xml:space="preserve">orti del disposto di cui all’articolo 825 del Codice civile, le aree private gravate da servitù pubblica sono </w:t>
      </w:r>
      <w:r>
        <w:t xml:space="preserve">certamente </w:t>
      </w:r>
      <w:r w:rsidR="007D5E12">
        <w:t xml:space="preserve">da considerare come </w:t>
      </w:r>
      <w:r w:rsidRPr="00470BBB">
        <w:t>soggette alla stessa disciplina delle aree demaniali</w:t>
      </w:r>
      <w:r>
        <w:t>.</w:t>
      </w:r>
    </w:p>
    <w:p w14:paraId="06AC8851" w14:textId="2A13ED28" w:rsidR="00470BBB" w:rsidRDefault="00470BBB" w:rsidP="00470BBB">
      <w:pPr>
        <w:jc w:val="both"/>
      </w:pPr>
      <w:r w:rsidRPr="00470BBB">
        <w:t>In base alla disciplina civilistica, infatti, l’area privata soggetta ad uso pubblico subisce una naturale attrazione nell'ambito applicativo, dovendo seguire, come detto, il regime già previsto per le aree demaniali e per quelle appartenenti al patrimonio indisponibile degli enti locali.</w:t>
      </w:r>
    </w:p>
    <w:p w14:paraId="33AFFC35" w14:textId="7EE392B4" w:rsidR="00470BBB" w:rsidRPr="00470BBB" w:rsidRDefault="00470BBB" w:rsidP="00470BBB">
      <w:pPr>
        <w:jc w:val="both"/>
      </w:pPr>
      <w:r>
        <w:t xml:space="preserve">In passato ci siamo occupati di capire come </w:t>
      </w:r>
      <w:r w:rsidRPr="00470BBB">
        <w:t xml:space="preserve">si </w:t>
      </w:r>
      <w:r w:rsidR="007D5E12">
        <w:t>potesse</w:t>
      </w:r>
      <w:r w:rsidRPr="00470BBB">
        <w:t xml:space="preserve"> realizzare </w:t>
      </w:r>
      <w:r>
        <w:t xml:space="preserve">la servitù, individuando sostanzialmente tre strade: </w:t>
      </w:r>
      <w:r w:rsidRPr="00470BBB">
        <w:t xml:space="preserve">per atto pubblico o privato, per usucapione ventennale ex articolo 1158 del Codice Civile, oppure per la cosiddetta </w:t>
      </w:r>
      <w:r w:rsidRPr="00470BBB">
        <w:rPr>
          <w:i/>
          <w:iCs/>
        </w:rPr>
        <w:t>dicatio ad patriam</w:t>
      </w:r>
      <w:r w:rsidRPr="00470BBB">
        <w:t xml:space="preserve">, cioè per la destinazione all’uso pubblico effettuata dallo stesso proprietario che pone l’area a disposizione della collettività. </w:t>
      </w:r>
    </w:p>
    <w:p w14:paraId="3772A144" w14:textId="007E77BC" w:rsidR="00470BBB" w:rsidRDefault="00470BBB" w:rsidP="00470BBB">
      <w:pPr>
        <w:jc w:val="both"/>
      </w:pPr>
      <w:r w:rsidRPr="00470BBB">
        <w:t xml:space="preserve">Proprio quest’ultima modalità è quella nella quale, sempre di più, si </w:t>
      </w:r>
      <w:r w:rsidR="00E30758">
        <w:t xml:space="preserve">sono </w:t>
      </w:r>
      <w:r w:rsidRPr="00470BBB">
        <w:t>rifugia</w:t>
      </w:r>
      <w:r w:rsidR="00E30758">
        <w:t>ti</w:t>
      </w:r>
      <w:r w:rsidRPr="00470BBB">
        <w:t xml:space="preserve"> gli uffici tributi per motivare l’applicazione del prelievo</w:t>
      </w:r>
      <w:r w:rsidR="007517A7">
        <w:t>, ed è stata oggetto d</w:t>
      </w:r>
      <w:r w:rsidR="00E30758">
        <w:t>ell’</w:t>
      </w:r>
      <w:r w:rsidR="007517A7">
        <w:t>analisi da parte dei giudici del Tribunale di Pescara nella s</w:t>
      </w:r>
      <w:r w:rsidR="007517A7" w:rsidRPr="007517A7">
        <w:t xml:space="preserve">entenza </w:t>
      </w:r>
      <w:r w:rsidR="007517A7">
        <w:t>n.</w:t>
      </w:r>
      <w:r w:rsidR="007517A7" w:rsidRPr="007517A7">
        <w:t>153 del 9/2/2026</w:t>
      </w:r>
      <w:r w:rsidR="007517A7">
        <w:t xml:space="preserve"> </w:t>
      </w:r>
      <w:r w:rsidR="007D5E12">
        <w:t>allorquando hanno deciso</w:t>
      </w:r>
      <w:r w:rsidR="007517A7">
        <w:t xml:space="preserve"> un contenzioso legato proprio alla natura dell’area oggetto di occupazione </w:t>
      </w:r>
      <w:r w:rsidR="007D5E12">
        <w:t xml:space="preserve">realizzata </w:t>
      </w:r>
      <w:r w:rsidR="00EA11A4">
        <w:t xml:space="preserve">con un </w:t>
      </w:r>
      <w:r w:rsidR="00EA11A4">
        <w:t xml:space="preserve">dehors </w:t>
      </w:r>
      <w:r w:rsidR="007517A7">
        <w:t>da parte di un esercizio commerciale.</w:t>
      </w:r>
      <w:r w:rsidR="007D5E12">
        <w:t xml:space="preserve"> Si trattava di un’area di proprietà condominiale</w:t>
      </w:r>
      <w:r w:rsidR="00E30758">
        <w:t>,</w:t>
      </w:r>
      <w:r w:rsidR="007D5E12">
        <w:t xml:space="preserve"> </w:t>
      </w:r>
      <w:r w:rsidR="00E30758">
        <w:t>di regola</w:t>
      </w:r>
      <w:r w:rsidR="007D5E12">
        <w:t xml:space="preserve"> lasciata nella disponibilità della collettività</w:t>
      </w:r>
      <w:r w:rsidR="00E30758">
        <w:t>, su cui veniva installata una struttura con tavoli e sedie al servizio del locale commerciale</w:t>
      </w:r>
      <w:r w:rsidR="007D5E12">
        <w:t>.</w:t>
      </w:r>
    </w:p>
    <w:p w14:paraId="64CA2E65" w14:textId="2DD0579A" w:rsidR="007517A7" w:rsidRDefault="007517A7" w:rsidP="00470BBB">
      <w:pPr>
        <w:jc w:val="both"/>
        <w:rPr>
          <w:i/>
          <w:iCs/>
        </w:rPr>
      </w:pPr>
      <w:r>
        <w:t xml:space="preserve">I giudici innanzi tutto </w:t>
      </w:r>
      <w:r w:rsidR="00EA11A4">
        <w:t xml:space="preserve">fanno un rilievo </w:t>
      </w:r>
      <w:r>
        <w:t>interessante: “</w:t>
      </w:r>
      <w:r w:rsidRPr="007517A7">
        <w:rPr>
          <w:i/>
          <w:iCs/>
        </w:rPr>
        <w:t>Se infatti l’area di proprietà fosse stata sic et simpliciter un’area privata, e non un’area soggetta a servitù di pubblico passaggio come in effetti è, non ci sarebbe stata ragione per chiedere la concessione di suolo pubblico per l’installazione in tale area del manufatto oggetto di accertamento, come invece è avvenuto.</w:t>
      </w:r>
      <w:r w:rsidRPr="007517A7">
        <w:rPr>
          <w:i/>
          <w:iCs/>
        </w:rPr>
        <w:t>”</w:t>
      </w:r>
    </w:p>
    <w:p w14:paraId="79B1CCAD" w14:textId="72FE3DD0" w:rsidR="00EA11A4" w:rsidRPr="00EA11A4" w:rsidRDefault="00EA11A4" w:rsidP="00470BBB">
      <w:pPr>
        <w:jc w:val="both"/>
      </w:pPr>
      <w:r>
        <w:t>La circostanza che ha indotto a chiedere la concessione per l’utilizzo dell’area rappresenta quindi un elemento che porta a ritenere come quel suolo sia nella disponibilità della collettività.</w:t>
      </w:r>
    </w:p>
    <w:p w14:paraId="2FCBDC44" w14:textId="66234740" w:rsidR="007517A7" w:rsidRDefault="007517A7" w:rsidP="00470BBB">
      <w:pPr>
        <w:jc w:val="both"/>
        <w:rPr>
          <w:i/>
          <w:iCs/>
        </w:rPr>
      </w:pPr>
      <w:r>
        <w:t>Proseguono specificando: “</w:t>
      </w:r>
      <w:r w:rsidRPr="007517A7">
        <w:rPr>
          <w:i/>
          <w:iCs/>
        </w:rPr>
        <w:t xml:space="preserve">Nel caso di specie, si è in presenza di una servitù di pubblico passaggio costituita mediante l’istituto della c.d. “dicatio ad patriam”, vale a dire quel “modo di costituzione di una servitù di uso pubblico, consiste nel comportamento del proprietario che, se pur non intenzionalmente diretto a dar vita al diritto di uso pubblico, metta volontariamente, con carattere di continuità, un proprio bene a disposizione della collettività, assoggettandolo al correlativo uso” (Cass. </w:t>
      </w:r>
      <w:proofErr w:type="spellStart"/>
      <w:r w:rsidRPr="007517A7">
        <w:rPr>
          <w:i/>
          <w:iCs/>
        </w:rPr>
        <w:t>Civ</w:t>
      </w:r>
      <w:proofErr w:type="spellEnd"/>
      <w:r w:rsidRPr="007517A7">
        <w:rPr>
          <w:i/>
          <w:iCs/>
        </w:rPr>
        <w:t xml:space="preserve">., sez. II, n.4597 del 22.03.2012). Sul punto la giurisprudenza è conforme e chiara circa l’adibizione ad uso pubblico di un’area privata (ex multis Consiglio di Stato n.3531 del 15.06.12, Cass. </w:t>
      </w:r>
      <w:proofErr w:type="spellStart"/>
      <w:r w:rsidRPr="007517A7">
        <w:rPr>
          <w:i/>
          <w:iCs/>
        </w:rPr>
        <w:t>Civ</w:t>
      </w:r>
      <w:proofErr w:type="spellEnd"/>
      <w:r w:rsidRPr="007517A7">
        <w:rPr>
          <w:i/>
          <w:iCs/>
        </w:rPr>
        <w:t>. n.4207 del 16.03.12).</w:t>
      </w:r>
      <w:r w:rsidRPr="007517A7">
        <w:rPr>
          <w:i/>
          <w:iCs/>
        </w:rPr>
        <w:t>”</w:t>
      </w:r>
    </w:p>
    <w:p w14:paraId="116A35EE" w14:textId="4D6DC852" w:rsidR="007D5E12" w:rsidRDefault="00EA11A4" w:rsidP="00470BBB">
      <w:pPr>
        <w:jc w:val="both"/>
        <w:rPr>
          <w:i/>
          <w:iCs/>
        </w:rPr>
      </w:pPr>
      <w:r>
        <w:t xml:space="preserve">Nell’affrontare la questione </w:t>
      </w:r>
      <w:r w:rsidR="007D5E12">
        <w:t>i giudici</w:t>
      </w:r>
      <w:r>
        <w:t xml:space="preserve"> si esprimono sulla </w:t>
      </w:r>
      <w:r w:rsidR="007D5E12">
        <w:t>potestà degli enti locali di disciplinare all’interno del proprio Regolamento la casistica delle occupazioni di suolo privato gravato da servitù di pubblico passaggio. Scrivono nella sentenza: “</w:t>
      </w:r>
      <w:r w:rsidR="007D5E12" w:rsidRPr="007D5E12">
        <w:rPr>
          <w:i/>
          <w:iCs/>
        </w:rPr>
        <w:t xml:space="preserve">Hanno in proposito evidenziato le controparti come il Comune eserciti una potestà regolamentare generale ex art. 52 D. </w:t>
      </w:r>
      <w:proofErr w:type="spellStart"/>
      <w:r w:rsidR="007D5E12" w:rsidRPr="007D5E12">
        <w:rPr>
          <w:i/>
          <w:iCs/>
        </w:rPr>
        <w:t>L.vo</w:t>
      </w:r>
      <w:proofErr w:type="spellEnd"/>
      <w:r w:rsidR="007D5E12" w:rsidRPr="007D5E12">
        <w:rPr>
          <w:i/>
          <w:iCs/>
        </w:rPr>
        <w:t xml:space="preserve"> 446/1997 e che in tal guisa ha emanato il Regolamento sul canone unico patrimoniale in vigore dal 1.01.2021. In esso Regolamento è espressamente prevista all’art. 34 la debenza del canone unico patrimoniale anche per le occupazioni abusive di aree private soggette a servitù di pubblico passaggio</w:t>
      </w:r>
      <w:r w:rsidR="007D5E12">
        <w:rPr>
          <w:i/>
          <w:iCs/>
        </w:rPr>
        <w:t>”</w:t>
      </w:r>
      <w:r w:rsidR="007D5E12" w:rsidRPr="007D5E12">
        <w:rPr>
          <w:i/>
          <w:iCs/>
        </w:rPr>
        <w:t>.</w:t>
      </w:r>
    </w:p>
    <w:p w14:paraId="36D786A0" w14:textId="318AAF9B" w:rsidR="00054EDD" w:rsidRDefault="007D5E12" w:rsidP="00470BBB">
      <w:pPr>
        <w:jc w:val="both"/>
        <w:rPr>
          <w:i/>
          <w:iCs/>
        </w:rPr>
      </w:pPr>
      <w:r>
        <w:lastRenderedPageBreak/>
        <w:t xml:space="preserve">Specificando poi che anche la Legge che ha istituito il CUP debba leggersi in modo da ricomprendere queste aree nel presupposto applicativo di cui al comma 819 della legge 160/2019: </w:t>
      </w:r>
      <w:r w:rsidRPr="007D5E12">
        <w:rPr>
          <w:i/>
          <w:iCs/>
        </w:rPr>
        <w:t xml:space="preserve"> </w:t>
      </w:r>
      <w:r>
        <w:rPr>
          <w:i/>
          <w:iCs/>
        </w:rPr>
        <w:t>“</w:t>
      </w:r>
      <w:r w:rsidRPr="007D5E12">
        <w:rPr>
          <w:i/>
          <w:iCs/>
        </w:rPr>
        <w:t>In ogni caso la disposizione di cui all’art. 1 comma 819 della L.160/2019, che descrive come soggette al canone unico patrimoniale le “aree appartenenti al demanio ed al patrimonio indisponibile</w:t>
      </w:r>
      <w:r>
        <w:rPr>
          <w:i/>
          <w:iCs/>
        </w:rPr>
        <w:t xml:space="preserve"> </w:t>
      </w:r>
      <w:r w:rsidRPr="007D5E12">
        <w:rPr>
          <w:i/>
          <w:iCs/>
        </w:rPr>
        <w:t xml:space="preserve">degli enti”, è da leggersi in senso ampio, ricomprendendo come soggette al </w:t>
      </w:r>
      <w:proofErr w:type="spellStart"/>
      <w:r w:rsidRPr="007D5E12">
        <w:rPr>
          <w:i/>
          <w:iCs/>
        </w:rPr>
        <w:t>cup</w:t>
      </w:r>
      <w:proofErr w:type="spellEnd"/>
      <w:r w:rsidRPr="007D5E12">
        <w:rPr>
          <w:i/>
          <w:iCs/>
        </w:rPr>
        <w:t xml:space="preserve"> anche quelle aree aperte e fruite al pubblico, pur private, quali solo possono essere i marciapiedi, come nel caso di specie. Ed ecco allora che l’istituto della dicatio ad patriam trova ratio e presupposto nel Regolamento, ma anche nella legislazione vigente</w:t>
      </w:r>
      <w:r>
        <w:rPr>
          <w:i/>
          <w:iCs/>
        </w:rPr>
        <w:t xml:space="preserve">. </w:t>
      </w:r>
      <w:r w:rsidRPr="007D5E12">
        <w:rPr>
          <w:i/>
          <w:iCs/>
        </w:rPr>
        <w:t>Vale rilevare che l’art. 825 cc dispone che le aree private gravate da servitù pubblica sono soggette alla stessa disciplina delle aree demaniali, con attrazione dell’area privata soggetta ad uso pubblico nella sfera di applicazione della normativa delle aree demaniali ed appartenenti al patrimonio indisponibile degli enti locali</w:t>
      </w:r>
      <w:r>
        <w:rPr>
          <w:i/>
          <w:iCs/>
        </w:rPr>
        <w:t>”</w:t>
      </w:r>
    </w:p>
    <w:p w14:paraId="2CB2092D" w14:textId="4DA78644" w:rsidR="007D5E12" w:rsidRDefault="00E30758" w:rsidP="00E30758">
      <w:pPr>
        <w:jc w:val="both"/>
        <w:rPr>
          <w:i/>
          <w:iCs/>
        </w:rPr>
      </w:pPr>
      <w:r>
        <w:t xml:space="preserve">In passato anche la Corte di Cassazione si </w:t>
      </w:r>
      <w:r w:rsidR="009E59B8">
        <w:t>era</w:t>
      </w:r>
      <w:r>
        <w:t xml:space="preserve"> </w:t>
      </w:r>
      <w:r w:rsidR="009E59B8">
        <w:t>pronunciata</w:t>
      </w:r>
      <w:r>
        <w:t xml:space="preserve"> più volte </w:t>
      </w:r>
      <w:r w:rsidR="009E59B8">
        <w:t>su</w:t>
      </w:r>
      <w:r>
        <w:t xml:space="preserve">lla questione, tra queste ricordiamo la sentenza </w:t>
      </w:r>
      <w:r w:rsidRPr="00E30758">
        <w:t>numero 26226 del 2021</w:t>
      </w:r>
      <w:r>
        <w:t xml:space="preserve"> </w:t>
      </w:r>
      <w:r w:rsidRPr="00E30758">
        <w:t xml:space="preserve">della quinta sezione, </w:t>
      </w:r>
      <w:r>
        <w:t xml:space="preserve">che aveva fissato </w:t>
      </w:r>
      <w:r w:rsidRPr="00E30758">
        <w:t xml:space="preserve">i principi già espressi in passato dalla sezione prima della stessa </w:t>
      </w:r>
      <w:r w:rsidR="009E59B8">
        <w:t>C</w:t>
      </w:r>
      <w:r w:rsidRPr="00E30758">
        <w:t>orte nella sentenza n. 4851 del 2016, secondo la quale: “</w:t>
      </w:r>
      <w:r w:rsidRPr="00E30758">
        <w:rPr>
          <w:i/>
          <w:iCs/>
        </w:rPr>
        <w:t xml:space="preserve">la cosiddetta dicatio ad patriam, quale modo di costituzione di una servitù di uso pubblico, consiste nel comportamento del proprietario che, seppure non intenzionalmente diretto a dar vita al diritto di uso pubblico, metta volontariamente, con carattere di continuità (non di precarietà e tolleranza), un proprio bene a disposizione della collettività, assoggettandolo al correlativo uso, al fine di soddisfare un’esigenza comune ai membri di tale collettività uti </w:t>
      </w:r>
      <w:proofErr w:type="spellStart"/>
      <w:r w:rsidRPr="00E30758">
        <w:rPr>
          <w:i/>
          <w:iCs/>
        </w:rPr>
        <w:t>cives</w:t>
      </w:r>
      <w:proofErr w:type="spellEnd"/>
      <w:r w:rsidRPr="00E30758">
        <w:rPr>
          <w:i/>
          <w:iCs/>
        </w:rPr>
        <w:t>, indipendentemente dai motivi per i quali detto comportamento venga tenuto, dalla sua spontaneità’ e dallo spirito che lo anima.”</w:t>
      </w:r>
    </w:p>
    <w:p w14:paraId="13E3C069" w14:textId="69D5D55F" w:rsidR="001B4DD4" w:rsidRPr="001B4DD4" w:rsidRDefault="001B4DD4" w:rsidP="00E30758">
      <w:pPr>
        <w:jc w:val="both"/>
      </w:pPr>
      <w:r>
        <w:t>Con la sentenza del tribunale di Pescara si torna a ribadire come le occupazioni realizzate in aree private sono soggette al pagamento del CUP tutte le volte che si costituisce,</w:t>
      </w:r>
      <w:r w:rsidRPr="001B4DD4">
        <w:rPr>
          <w:i/>
          <w:iCs/>
        </w:rPr>
        <w:t xml:space="preserve"> </w:t>
      </w:r>
      <w:r w:rsidRPr="001B4DD4">
        <w:t>seppure non intenzionalmente</w:t>
      </w:r>
      <w:r>
        <w:t>,</w:t>
      </w:r>
      <w:r w:rsidRPr="001B4DD4">
        <w:t xml:space="preserve"> </w:t>
      </w:r>
      <w:r>
        <w:t>i</w:t>
      </w:r>
      <w:r w:rsidRPr="001B4DD4">
        <w:t>l diritto di uso pubblico, mett</w:t>
      </w:r>
      <w:r>
        <w:t>endo</w:t>
      </w:r>
      <w:r w:rsidRPr="001B4DD4">
        <w:t xml:space="preserve"> volontariamente con carattere di continuità un proprio bene a disposizione della collettività</w:t>
      </w:r>
      <w:r>
        <w:t>.</w:t>
      </w:r>
    </w:p>
    <w:sectPr w:rsidR="001B4DD4" w:rsidRPr="001B4DD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75E"/>
    <w:rsid w:val="00054EDD"/>
    <w:rsid w:val="00060149"/>
    <w:rsid w:val="001B4DD4"/>
    <w:rsid w:val="00470BBB"/>
    <w:rsid w:val="007517A7"/>
    <w:rsid w:val="007B1496"/>
    <w:rsid w:val="007B4D20"/>
    <w:rsid w:val="007D5E12"/>
    <w:rsid w:val="009E59B8"/>
    <w:rsid w:val="00B4175E"/>
    <w:rsid w:val="00E30758"/>
    <w:rsid w:val="00EA11A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27A0"/>
  <w15:chartTrackingRefBased/>
  <w15:docId w15:val="{8830C6E0-3703-4908-957F-EDB89CFA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41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B41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B4175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B4175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B4175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B4175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4175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4175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4175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4175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B4175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B4175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B4175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B4175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B4175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4175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4175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4175E"/>
    <w:rPr>
      <w:rFonts w:eastAsiaTheme="majorEastAsia" w:cstheme="majorBidi"/>
      <w:color w:val="272727" w:themeColor="text1" w:themeTint="D8"/>
    </w:rPr>
  </w:style>
  <w:style w:type="paragraph" w:styleId="Titolo">
    <w:name w:val="Title"/>
    <w:basedOn w:val="Normale"/>
    <w:next w:val="Normale"/>
    <w:link w:val="TitoloCarattere"/>
    <w:uiPriority w:val="10"/>
    <w:qFormat/>
    <w:rsid w:val="00B41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4175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4175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4175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4175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4175E"/>
    <w:rPr>
      <w:i/>
      <w:iCs/>
      <w:color w:val="404040" w:themeColor="text1" w:themeTint="BF"/>
    </w:rPr>
  </w:style>
  <w:style w:type="paragraph" w:styleId="Paragrafoelenco">
    <w:name w:val="List Paragraph"/>
    <w:basedOn w:val="Normale"/>
    <w:uiPriority w:val="34"/>
    <w:qFormat/>
    <w:rsid w:val="00B4175E"/>
    <w:pPr>
      <w:ind w:left="720"/>
      <w:contextualSpacing/>
    </w:pPr>
  </w:style>
  <w:style w:type="character" w:styleId="Enfasiintensa">
    <w:name w:val="Intense Emphasis"/>
    <w:basedOn w:val="Carpredefinitoparagrafo"/>
    <w:uiPriority w:val="21"/>
    <w:qFormat/>
    <w:rsid w:val="00B4175E"/>
    <w:rPr>
      <w:i/>
      <w:iCs/>
      <w:color w:val="2F5496" w:themeColor="accent1" w:themeShade="BF"/>
    </w:rPr>
  </w:style>
  <w:style w:type="paragraph" w:styleId="Citazioneintensa">
    <w:name w:val="Intense Quote"/>
    <w:basedOn w:val="Normale"/>
    <w:next w:val="Normale"/>
    <w:link w:val="CitazioneintensaCarattere"/>
    <w:uiPriority w:val="30"/>
    <w:qFormat/>
    <w:rsid w:val="00B41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B4175E"/>
    <w:rPr>
      <w:i/>
      <w:iCs/>
      <w:color w:val="2F5496" w:themeColor="accent1" w:themeShade="BF"/>
    </w:rPr>
  </w:style>
  <w:style w:type="character" w:styleId="Riferimentointenso">
    <w:name w:val="Intense Reference"/>
    <w:basedOn w:val="Carpredefinitoparagrafo"/>
    <w:uiPriority w:val="32"/>
    <w:qFormat/>
    <w:rsid w:val="00B417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957</Words>
  <Characters>5459</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3</cp:revision>
  <dcterms:created xsi:type="dcterms:W3CDTF">2026-02-18T07:49:00Z</dcterms:created>
  <dcterms:modified xsi:type="dcterms:W3CDTF">2026-02-18T09:41:00Z</dcterms:modified>
</cp:coreProperties>
</file>