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6152" w14:textId="30B1DD3C" w:rsidR="009A05AD" w:rsidRPr="00354EF2" w:rsidRDefault="00354EF2" w:rsidP="009A05AD">
      <w:r w:rsidRPr="00354EF2">
        <w:t xml:space="preserve">Titolo: </w:t>
      </w:r>
      <w:r w:rsidR="00A50F45">
        <w:t xml:space="preserve">La pubblicità </w:t>
      </w:r>
      <w:r w:rsidR="00057966">
        <w:t>negli autogrill autostradali paga il CUP al Comune</w:t>
      </w:r>
      <w:r w:rsidRPr="00354EF2">
        <w:t xml:space="preserve"> </w:t>
      </w:r>
    </w:p>
    <w:p w14:paraId="764789D9" w14:textId="103F57AC" w:rsidR="00354EF2" w:rsidRPr="00354EF2" w:rsidRDefault="00354EF2" w:rsidP="009A05AD">
      <w:r w:rsidRPr="00354EF2">
        <w:t>Di Alessandro Merciari</w:t>
      </w:r>
    </w:p>
    <w:p w14:paraId="55409BF6" w14:textId="52D2EE20" w:rsidR="00A50F45" w:rsidRDefault="00057966" w:rsidP="00A50F45">
      <w:pPr>
        <w:jc w:val="both"/>
      </w:pPr>
      <w:r>
        <w:t>L</w:t>
      </w:r>
      <w:r w:rsidR="00A50F45">
        <w:t>a Terza Sezione Civile del Tribunale di Bologna</w:t>
      </w:r>
      <w:r>
        <w:t xml:space="preserve"> con la sentenza n. 2679 depositata il 24 ottobre </w:t>
      </w:r>
      <w:r w:rsidR="009D260B">
        <w:t>scorso, respinge</w:t>
      </w:r>
      <w:r w:rsidR="00A50F45">
        <w:t xml:space="preserve"> l’opposizione, presentata da un operatore pubblicitario, in ordine all’ assoggettamento a CUP di </w:t>
      </w:r>
      <w:r w:rsidR="009D260B">
        <w:t>impianti</w:t>
      </w:r>
      <w:r w:rsidR="00A50F45">
        <w:t xml:space="preserve"> pubblicitari collocat</w:t>
      </w:r>
      <w:r w:rsidR="009D260B">
        <w:t>i</w:t>
      </w:r>
      <w:r w:rsidR="00A50F45">
        <w:t xml:space="preserve"> all’interno di un’area di servizio autostradale.</w:t>
      </w:r>
    </w:p>
    <w:p w14:paraId="44C1F318" w14:textId="336559A5" w:rsidR="000E1861" w:rsidRDefault="009D260B" w:rsidP="00A50F45">
      <w:pPr>
        <w:jc w:val="both"/>
      </w:pPr>
      <w:r>
        <w:t>I giudici bolognesi riteng</w:t>
      </w:r>
      <w:r w:rsidR="00F435D1">
        <w:t xml:space="preserve">ono che </w:t>
      </w:r>
      <w:r>
        <w:t>ai fini della formazione del presupposto pubblicitario divent</w:t>
      </w:r>
      <w:r w:rsidR="00F435D1">
        <w:t>a</w:t>
      </w:r>
      <w:r>
        <w:t xml:space="preserve"> dirimente </w:t>
      </w:r>
      <w:r w:rsidR="00A50F45">
        <w:t xml:space="preserve">la percepibilità del messaggio pubblicitario dal e </w:t>
      </w:r>
      <w:r w:rsidR="00057966">
        <w:t>nel territorio</w:t>
      </w:r>
      <w:r w:rsidR="00A50F45">
        <w:t xml:space="preserve"> comunale ritenendo del tutto irrilevante che lo stesso risulti collocato su un’area privata o su una strada non comunale e, in particolare, a prescindere dall’Ente che ha autorizzato l’installazione del manufatto nonché anche dalla dichiarazione resa al Comune.</w:t>
      </w:r>
    </w:p>
    <w:p w14:paraId="1C9B187B" w14:textId="0544529A" w:rsidR="00F435D1" w:rsidRDefault="00F435D1" w:rsidP="00A50F45">
      <w:pPr>
        <w:jc w:val="both"/>
      </w:pPr>
      <w:r>
        <w:t>Recentemente abbiamo registrato qualche arresto giurisprudenziale che ha fondato le proprie posizioni sull</w:t>
      </w:r>
      <w:r w:rsidR="007E50DE">
        <w:t xml:space="preserve">a diversa </w:t>
      </w:r>
      <w:r>
        <w:t>idea di legare la soggettività attiva all’ente</w:t>
      </w:r>
      <w:r w:rsidR="007E50DE">
        <w:t xml:space="preserve"> locale</w:t>
      </w:r>
      <w:r>
        <w:t xml:space="preserve"> che </w:t>
      </w:r>
      <w:r w:rsidR="006061CF">
        <w:t xml:space="preserve">ha </w:t>
      </w:r>
      <w:r>
        <w:t>rilascia</w:t>
      </w:r>
      <w:r w:rsidR="006061CF">
        <w:t>to</w:t>
      </w:r>
      <w:r>
        <w:t xml:space="preserve"> l’atto </w:t>
      </w:r>
      <w:r w:rsidR="006061CF">
        <w:t xml:space="preserve">amministrativo </w:t>
      </w:r>
      <w:r>
        <w:t>di concessione o autorizzazione</w:t>
      </w:r>
      <w:r w:rsidR="006061CF">
        <w:t>, spostando di fatto</w:t>
      </w:r>
      <w:r w:rsidR="007E50DE">
        <w:t xml:space="preserve">, rispetto a quanto accadeva con i prelievi precedenti, </w:t>
      </w:r>
      <w:r w:rsidR="006061CF">
        <w:t xml:space="preserve">la competenza da un </w:t>
      </w:r>
      <w:r w:rsidR="007E50DE">
        <w:t>e</w:t>
      </w:r>
      <w:r w:rsidR="006061CF">
        <w:t xml:space="preserve">nte all’altro in </w:t>
      </w:r>
      <w:r w:rsidR="007E50DE">
        <w:t>determinate situazioni</w:t>
      </w:r>
      <w:r w:rsidR="002B6871">
        <w:t>.</w:t>
      </w:r>
    </w:p>
    <w:p w14:paraId="08D76245" w14:textId="7844183B" w:rsidR="002B6871" w:rsidRDefault="002B6871" w:rsidP="00A50F45">
      <w:pPr>
        <w:jc w:val="both"/>
      </w:pPr>
      <w:r>
        <w:t>Nella sentenza leggiamo:</w:t>
      </w:r>
    </w:p>
    <w:p w14:paraId="4ACB765C" w14:textId="6B8049DA" w:rsidR="002B6871" w:rsidRDefault="002B6871" w:rsidP="00A50F45">
      <w:pPr>
        <w:jc w:val="both"/>
        <w:rPr>
          <w:i/>
          <w:iCs/>
        </w:rPr>
      </w:pPr>
      <w:r w:rsidRPr="002B6871">
        <w:rPr>
          <w:i/>
          <w:iCs/>
        </w:rPr>
        <w:t>“</w:t>
      </w:r>
      <w:r w:rsidRPr="002B6871">
        <w:rPr>
          <w:i/>
          <w:iCs/>
        </w:rPr>
        <w:t xml:space="preserve">emerge chiaramente come </w:t>
      </w:r>
      <w:r w:rsidRPr="002B6871">
        <w:rPr>
          <w:b/>
          <w:bCs/>
          <w:i/>
          <w:iCs/>
        </w:rPr>
        <w:t xml:space="preserve">presupposto del canone in esame NON </w:t>
      </w:r>
      <w:r w:rsidRPr="002B6871">
        <w:rPr>
          <w:i/>
          <w:iCs/>
        </w:rPr>
        <w:t xml:space="preserve">essendo, ovverosia per la diffusione del messaggi pubblicitari di cui alla lettera b) del comma 819 citato, </w:t>
      </w:r>
      <w:r w:rsidRPr="002B6871">
        <w:rPr>
          <w:b/>
          <w:bCs/>
          <w:i/>
          <w:iCs/>
        </w:rPr>
        <w:t xml:space="preserve">l'occupazione, </w:t>
      </w:r>
      <w:r w:rsidRPr="002B6871">
        <w:rPr>
          <w:i/>
          <w:iCs/>
        </w:rPr>
        <w:t xml:space="preserve">anche abusiva, delle aree appartenenti al demanio o al patrimonio indisponibile degli enti e degli spazi soprastanti o sottostanti il suolo pubblico di cui alla lettera a) del comma 819 citato, </w:t>
      </w:r>
      <w:r w:rsidRPr="002B6871">
        <w:rPr>
          <w:b/>
          <w:bCs/>
          <w:i/>
          <w:iCs/>
        </w:rPr>
        <w:t xml:space="preserve">MA </w:t>
      </w:r>
      <w:r w:rsidRPr="002B6871">
        <w:rPr>
          <w:i/>
          <w:iCs/>
        </w:rPr>
        <w:t xml:space="preserve">la </w:t>
      </w:r>
      <w:r w:rsidRPr="002B6871">
        <w:rPr>
          <w:b/>
          <w:bCs/>
          <w:i/>
          <w:iCs/>
        </w:rPr>
        <w:t xml:space="preserve">diffusione dei messaggi pubblicitari di cui alla lettera b) </w:t>
      </w:r>
      <w:r w:rsidRPr="002B6871">
        <w:rPr>
          <w:i/>
          <w:iCs/>
        </w:rPr>
        <w:t xml:space="preserve">del comma 819 cit., </w:t>
      </w:r>
      <w:r w:rsidRPr="002B6871">
        <w:rPr>
          <w:b/>
          <w:bCs/>
          <w:i/>
          <w:iCs/>
        </w:rPr>
        <w:t xml:space="preserve">ciò che rileva </w:t>
      </w:r>
      <w:r w:rsidRPr="002B6871">
        <w:rPr>
          <w:i/>
          <w:iCs/>
        </w:rPr>
        <w:t xml:space="preserve">non è che sia posto su struttura sita in area privata [quale quella di servizio (Sillaro Ovest) lungo l’autostrada], </w:t>
      </w:r>
      <w:r w:rsidRPr="002B6871">
        <w:rPr>
          <w:b/>
          <w:bCs/>
          <w:i/>
          <w:iCs/>
        </w:rPr>
        <w:t xml:space="preserve">è la </w:t>
      </w:r>
      <w:r w:rsidRPr="002B6871">
        <w:rPr>
          <w:i/>
          <w:iCs/>
        </w:rPr>
        <w:t xml:space="preserve">(non eccepita) </w:t>
      </w:r>
      <w:r w:rsidRPr="002B6871">
        <w:rPr>
          <w:b/>
          <w:bCs/>
          <w:i/>
          <w:iCs/>
        </w:rPr>
        <w:t xml:space="preserve">visibilità dei messaggi, </w:t>
      </w:r>
      <w:r w:rsidRPr="002B6871">
        <w:rPr>
          <w:i/>
          <w:iCs/>
        </w:rPr>
        <w:t xml:space="preserve">oggetto di applicazione del canone de quo, </w:t>
      </w:r>
      <w:r w:rsidRPr="002B6871">
        <w:rPr>
          <w:b/>
          <w:bCs/>
          <w:i/>
          <w:iCs/>
        </w:rPr>
        <w:t xml:space="preserve">da luogo pubblico o aperto al pubblico del territorio comunale: </w:t>
      </w:r>
      <w:r w:rsidRPr="002B6871">
        <w:rPr>
          <w:i/>
          <w:iCs/>
        </w:rPr>
        <w:t xml:space="preserve">peraltro, </w:t>
      </w:r>
      <w:r w:rsidRPr="002B6871">
        <w:rPr>
          <w:b/>
          <w:bCs/>
          <w:i/>
          <w:iCs/>
        </w:rPr>
        <w:t xml:space="preserve">vista la grandezza dei 5 cartelli </w:t>
      </w:r>
      <w:r w:rsidRPr="002B6871">
        <w:rPr>
          <w:i/>
          <w:iCs/>
        </w:rPr>
        <w:t xml:space="preserve">oggetto di recupero del canone nell’atto impositivo opposto (il più piccolo dei quali risulta, dall’accertamento impugnato, avere una grandezza di 12 mq e il più grande di 36 mq) e la </w:t>
      </w:r>
      <w:r w:rsidRPr="002B6871">
        <w:rPr>
          <w:b/>
          <w:bCs/>
          <w:i/>
          <w:iCs/>
        </w:rPr>
        <w:t xml:space="preserve">loro posizione </w:t>
      </w:r>
      <w:r w:rsidRPr="002B6871">
        <w:rPr>
          <w:i/>
          <w:iCs/>
        </w:rPr>
        <w:t xml:space="preserve">(sul fronte ristorante o su cimase), </w:t>
      </w:r>
      <w:r w:rsidRPr="002B6871">
        <w:rPr>
          <w:b/>
          <w:bCs/>
          <w:i/>
          <w:iCs/>
        </w:rPr>
        <w:t xml:space="preserve">è inferibile la loro visibilità anche a distanza </w:t>
      </w:r>
      <w:r w:rsidRPr="002B6871">
        <w:rPr>
          <w:i/>
          <w:iCs/>
        </w:rPr>
        <w:t xml:space="preserve">ovverosia </w:t>
      </w:r>
      <w:r w:rsidRPr="002B6871">
        <w:rPr>
          <w:b/>
          <w:bCs/>
          <w:i/>
          <w:iCs/>
        </w:rPr>
        <w:t>da luogo pubblico</w:t>
      </w:r>
      <w:r w:rsidRPr="002B6871">
        <w:rPr>
          <w:b/>
          <w:bCs/>
          <w:i/>
          <w:iCs/>
        </w:rPr>
        <w:t xml:space="preserve"> </w:t>
      </w:r>
      <w:r w:rsidRPr="002B6871">
        <w:rPr>
          <w:b/>
          <w:bCs/>
          <w:i/>
          <w:iCs/>
        </w:rPr>
        <w:t xml:space="preserve">o aperto al pubblico del territorio comunale, </w:t>
      </w:r>
      <w:r w:rsidRPr="002B6871">
        <w:rPr>
          <w:i/>
          <w:iCs/>
        </w:rPr>
        <w:t>considerato che in ogni caso le autostrade percorrono, per lo più spazi aperti (nel caso in esame, non è allegato che essa non percorra il territorio dell’ente locale per conto del quale l’accertamento è stato emesso).</w:t>
      </w:r>
      <w:r w:rsidRPr="002B6871">
        <w:rPr>
          <w:i/>
          <w:iCs/>
        </w:rPr>
        <w:t>”</w:t>
      </w:r>
    </w:p>
    <w:p w14:paraId="2DB3D357" w14:textId="68DE6ED2" w:rsidR="008729E9" w:rsidRDefault="008729E9" w:rsidP="00A50F45">
      <w:pPr>
        <w:jc w:val="both"/>
      </w:pPr>
      <w:r>
        <w:t xml:space="preserve">Nella sentenza si riporta anche un </w:t>
      </w:r>
      <w:r>
        <w:t xml:space="preserve">decisivo </w:t>
      </w:r>
      <w:r>
        <w:t>estratto della comparsa effettuata in prima battuta presso il tribunale di Roma dichiaratosi poi incompetente per territorio nel quale si chiarisce che:</w:t>
      </w:r>
    </w:p>
    <w:p w14:paraId="32F4B4D4" w14:textId="463B7DDC" w:rsidR="008729E9" w:rsidRDefault="008729E9" w:rsidP="00A50F45">
      <w:pPr>
        <w:jc w:val="both"/>
        <w:rPr>
          <w:i/>
          <w:iCs/>
        </w:rPr>
      </w:pPr>
      <w:r>
        <w:t>“</w:t>
      </w:r>
      <w:r>
        <w:rPr>
          <w:i/>
          <w:iCs/>
        </w:rPr>
        <w:t>…</w:t>
      </w:r>
      <w:r w:rsidRPr="008729E9">
        <w:rPr>
          <w:i/>
          <w:iCs/>
        </w:rPr>
        <w:t xml:space="preserve"> irrilevante è la circostanza che gli impianti siano ubicati su proprietà privata, restando irrilevante dunque anche il soggetto che ha autorizzato l’esposizione. Ciò che rileva ai fini del pagamento del</w:t>
      </w:r>
      <w:r>
        <w:rPr>
          <w:i/>
          <w:iCs/>
        </w:rPr>
        <w:t xml:space="preserve"> ricorrente</w:t>
      </w:r>
      <w:r w:rsidRPr="008729E9">
        <w:rPr>
          <w:i/>
          <w:iCs/>
        </w:rPr>
        <w:t xml:space="preserve"> è che il messaggio sia visibile da luogo pubblico o aperto al pubblico del territorio comunale. E così è! Di conseguenza, e pertanto, deve ritenersi assolutamente corretta la richiesta di pagamento del da parte del </w:t>
      </w:r>
      <w:r>
        <w:rPr>
          <w:i/>
          <w:iCs/>
        </w:rPr>
        <w:t xml:space="preserve">comune </w:t>
      </w:r>
      <w:r w:rsidRPr="008729E9">
        <w:rPr>
          <w:i/>
          <w:iCs/>
        </w:rPr>
        <w:t>di Castel San Pietro Terme per l’esposizione pubblicitaria effettuata sul proprio territorio comunale, e ciò a prescindere dal luogo in cui è collocato il cartello pubblicitario oggetto di accertamento, dal momento che ciò che importa è che il messaggio sia visibile da luogo pubblico o aperto al pubblico del territorio comunale</w:t>
      </w:r>
      <w:r>
        <w:rPr>
          <w:i/>
          <w:iCs/>
        </w:rPr>
        <w:t>”</w:t>
      </w:r>
    </w:p>
    <w:p w14:paraId="18C2344F" w14:textId="51BF34B5" w:rsidR="008729E9" w:rsidRDefault="00AF00A8" w:rsidP="00A50F45">
      <w:pPr>
        <w:jc w:val="both"/>
      </w:pPr>
      <w:r>
        <w:t>È quindi decisivo l’approccio alla questione basato sulla formazione del presupposto pubblicitario che a mente del comma 819 lettera b si forma ogni qual volta una diffusione pubblicitaria risulta visibile da luogo pubblico, aperto a pubblico o da tali luoghi percepibile.</w:t>
      </w:r>
    </w:p>
    <w:p w14:paraId="6F2B0CD8" w14:textId="4339A4E5" w:rsidR="00AF00A8" w:rsidRDefault="00AF00A8" w:rsidP="00A50F45">
      <w:pPr>
        <w:jc w:val="both"/>
      </w:pPr>
      <w:r>
        <w:t>Anche nel caso in parola, a nulla rileva che gli impianti, peraltro di grandi dimensioni espositive, siano collocati all’interno dell’area di servizio autostradale non gestita dal Comune, ciò che conta per l’applicazione del CUP è la loro visibilità da luoghi del territorio comunale aperti ad un numero indiscriminato di persone.</w:t>
      </w:r>
    </w:p>
    <w:p w14:paraId="13D1D525" w14:textId="77777777" w:rsidR="00AF00A8" w:rsidRPr="00AF00A8" w:rsidRDefault="00AF00A8" w:rsidP="00AF00A8">
      <w:pPr>
        <w:jc w:val="both"/>
      </w:pPr>
    </w:p>
    <w:p w14:paraId="37A31145" w14:textId="26970FEB" w:rsidR="00AF00A8" w:rsidRPr="00AF00A8" w:rsidRDefault="00AF00A8" w:rsidP="00AF00A8">
      <w:pPr>
        <w:jc w:val="both"/>
      </w:pPr>
      <w:r w:rsidRPr="00AF00A8">
        <w:lastRenderedPageBreak/>
        <w:t xml:space="preserve">L’orientamento in questo senso, che viene in aiuto anche a casi come quello in parola affrontato dai Giudici </w:t>
      </w:r>
      <w:r>
        <w:t>bolognesi</w:t>
      </w:r>
      <w:r w:rsidRPr="00AF00A8">
        <w:t xml:space="preserve">, deriva dalla sentenza di Corte di Cassazione numero 1930 del 1990, costantemente richiamata nelle ordinanze emesse negli anni successivi. </w:t>
      </w:r>
    </w:p>
    <w:p w14:paraId="05DA45DB" w14:textId="77777777" w:rsidR="00AF00A8" w:rsidRPr="00AF00A8" w:rsidRDefault="00AF00A8" w:rsidP="00AF00A8">
      <w:pPr>
        <w:jc w:val="both"/>
      </w:pPr>
      <w:r w:rsidRPr="00AF00A8">
        <w:t xml:space="preserve">La sentenza madre risalente ormai al secolo scorso ma ancora attualissima, affrontava un contenzioso basato sulla formazione del presupposto pubblicitario in merito all’esposizione di una targa esposta nel cortile interno di un fabbricato, dove a detta del ricorrente sarebbe stato falsato il concetto di "luogo aperto al pubblico". I giudici ritennero infondato il motivo di doglianza in quanto, l’allora vigente art. 6 del D.P.R. 26 ottobre 1972, n. 639 in tema di prelievo sulla pubblicità, prescriveva l’applicabilità dell’imposta per i casi in cui il mezzo pubblicitario fosse esposto o effettuato " in luoghi pubblici o aperti al pubblico o comunque da tali luoghi percepibili". </w:t>
      </w:r>
    </w:p>
    <w:p w14:paraId="2FD6D156" w14:textId="21B6A878" w:rsidR="00AF00A8" w:rsidRDefault="00AF00A8" w:rsidP="00AF00A8">
      <w:pPr>
        <w:jc w:val="both"/>
      </w:pPr>
      <w:r w:rsidRPr="00AF00A8">
        <w:t xml:space="preserve">Nella sentenza si leggeva: </w:t>
      </w:r>
      <w:r w:rsidRPr="00AF00A8">
        <w:rPr>
          <w:i/>
          <w:iCs/>
        </w:rPr>
        <w:t>“È chiaro, dall'esegesi della norma, che la legge ha voluto sottoporre a tassazione l'attività di chi, con i mezzi di cui si è detto precedentemente, intenda far pervenire ad altri un messaggio avente finalità "pubblicitarie" (in senso lato, come pure si è detto); e a tal fine ha previsto che l'attività è tassabile se viene svolta in luogo pubblico o aperto al pubblico, ovvero in un luogo che da quelli è percepibile. È chiaro, cioè, che il legislatore ha presunto che il messaggio pubblicitario abbia dei possibili destinatari se viene lanciato da uno dei detti luoghi o in direzione di essi; ed è incontestabile, allora, che il presupposto dell’imponibilità va ricercato nell'astratta possibilità del messaggio, in rapporto all'ubicazione, di avere un numero indeterminato di destinatari, che diventano tali solo perché vengono a trovarsi in quel luogo determinato.”</w:t>
      </w:r>
    </w:p>
    <w:p w14:paraId="0B316CC2" w14:textId="1C143C3E" w:rsidR="00AF00A8" w:rsidRPr="00AF00A8" w:rsidRDefault="00AF00A8" w:rsidP="00A50F45">
      <w:pPr>
        <w:jc w:val="both"/>
      </w:pPr>
      <w:r>
        <w:t xml:space="preserve">La sentenza in commento va ad arricchire quella </w:t>
      </w:r>
      <w:r w:rsidR="003F6715">
        <w:t xml:space="preserve">copiosa </w:t>
      </w:r>
      <w:r>
        <w:t>giurisprudenza che vuole considerare</w:t>
      </w:r>
      <w:r w:rsidR="003F6715">
        <w:t xml:space="preserve"> sempre </w:t>
      </w:r>
      <w:r>
        <w:t xml:space="preserve">il presupposto pubblicitario come un’entrata di competenza dei Comuni sul cui territorio vengono diffuse iniziative pubblicitarie, </w:t>
      </w:r>
      <w:r w:rsidR="003F6715">
        <w:t xml:space="preserve">così come avveniva con i precedenti prelievi sostituiti dal CUP, </w:t>
      </w:r>
      <w:r>
        <w:t>ancorché realizzat</w:t>
      </w:r>
      <w:r w:rsidR="003F6715">
        <w:t>e</w:t>
      </w:r>
      <w:r>
        <w:t xml:space="preserve"> su strade di diverso ente locale o su aree private o date in concessione a soggetti diversi come a</w:t>
      </w:r>
      <w:r w:rsidR="003F6715">
        <w:t xml:space="preserve">ppunto </w:t>
      </w:r>
      <w:r>
        <w:t>i concessionari autostradali.</w:t>
      </w:r>
    </w:p>
    <w:p w14:paraId="32CFE919" w14:textId="77777777" w:rsidR="009D260B" w:rsidRPr="000E1861" w:rsidRDefault="009D260B" w:rsidP="00A50F45">
      <w:pPr>
        <w:jc w:val="both"/>
      </w:pPr>
    </w:p>
    <w:sectPr w:rsidR="009D260B" w:rsidRPr="000E18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49"/>
    <w:rsid w:val="00057966"/>
    <w:rsid w:val="00060149"/>
    <w:rsid w:val="000D4CE4"/>
    <w:rsid w:val="000E1861"/>
    <w:rsid w:val="002B6871"/>
    <w:rsid w:val="00354EF2"/>
    <w:rsid w:val="003F6715"/>
    <w:rsid w:val="003F6ED5"/>
    <w:rsid w:val="004E7E55"/>
    <w:rsid w:val="006061CF"/>
    <w:rsid w:val="007B1496"/>
    <w:rsid w:val="007E50DE"/>
    <w:rsid w:val="008729E9"/>
    <w:rsid w:val="009A05AD"/>
    <w:rsid w:val="009D260B"/>
    <w:rsid w:val="00A50F45"/>
    <w:rsid w:val="00A5759C"/>
    <w:rsid w:val="00AF00A8"/>
    <w:rsid w:val="00B131BA"/>
    <w:rsid w:val="00CC7CB7"/>
    <w:rsid w:val="00D07749"/>
    <w:rsid w:val="00E71C7C"/>
    <w:rsid w:val="00ED5E07"/>
    <w:rsid w:val="00F435D1"/>
    <w:rsid w:val="00FB52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696A"/>
  <w15:chartTrackingRefBased/>
  <w15:docId w15:val="{9EEB9B99-7C07-4FB5-94B9-EEBC33AF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07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07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0774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0774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0774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0774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774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774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774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774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0774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0774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0774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0774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0774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774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774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7749"/>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7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774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774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774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774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7749"/>
    <w:rPr>
      <w:i/>
      <w:iCs/>
      <w:color w:val="404040" w:themeColor="text1" w:themeTint="BF"/>
    </w:rPr>
  </w:style>
  <w:style w:type="paragraph" w:styleId="Paragrafoelenco">
    <w:name w:val="List Paragraph"/>
    <w:basedOn w:val="Normale"/>
    <w:uiPriority w:val="34"/>
    <w:qFormat/>
    <w:rsid w:val="00D07749"/>
    <w:pPr>
      <w:ind w:left="720"/>
      <w:contextualSpacing/>
    </w:pPr>
  </w:style>
  <w:style w:type="character" w:styleId="Enfasiintensa">
    <w:name w:val="Intense Emphasis"/>
    <w:basedOn w:val="Carpredefinitoparagrafo"/>
    <w:uiPriority w:val="21"/>
    <w:qFormat/>
    <w:rsid w:val="00D07749"/>
    <w:rPr>
      <w:i/>
      <w:iCs/>
      <w:color w:val="2F5496" w:themeColor="accent1" w:themeShade="BF"/>
    </w:rPr>
  </w:style>
  <w:style w:type="paragraph" w:styleId="Citazioneintensa">
    <w:name w:val="Intense Quote"/>
    <w:basedOn w:val="Normale"/>
    <w:next w:val="Normale"/>
    <w:link w:val="CitazioneintensaCarattere"/>
    <w:uiPriority w:val="30"/>
    <w:qFormat/>
    <w:rsid w:val="00D07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07749"/>
    <w:rPr>
      <w:i/>
      <w:iCs/>
      <w:color w:val="2F5496" w:themeColor="accent1" w:themeShade="BF"/>
    </w:rPr>
  </w:style>
  <w:style w:type="character" w:styleId="Riferimentointenso">
    <w:name w:val="Intense Reference"/>
    <w:basedOn w:val="Carpredefinitoparagrafo"/>
    <w:uiPriority w:val="32"/>
    <w:qFormat/>
    <w:rsid w:val="00D07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965</Words>
  <Characters>5503</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12</cp:revision>
  <dcterms:created xsi:type="dcterms:W3CDTF">2025-10-28T16:08:00Z</dcterms:created>
  <dcterms:modified xsi:type="dcterms:W3CDTF">2025-11-05T11:01:00Z</dcterms:modified>
</cp:coreProperties>
</file>