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68FCD3" w14:textId="4F49987A" w:rsidR="00060149" w:rsidRDefault="00DD6D60">
      <w:r>
        <w:t xml:space="preserve">Titolo: </w:t>
      </w:r>
      <w:r>
        <w:t>La riduzione per le occupazioni ricorrenti si applica solo ai mercati settimanali</w:t>
      </w:r>
    </w:p>
    <w:p w14:paraId="140F75D1" w14:textId="1D8E7666" w:rsidR="00DD6D60" w:rsidRDefault="00DD6D60">
      <w:r>
        <w:t>Di Alessandro Merciari</w:t>
      </w:r>
    </w:p>
    <w:p w14:paraId="027DD0A0" w14:textId="4482369C" w:rsidR="00A348E3" w:rsidRDefault="00A348E3" w:rsidP="00A348E3">
      <w:pPr>
        <w:jc w:val="both"/>
      </w:pPr>
      <w:r>
        <w:t>L’art</w:t>
      </w:r>
      <w:r>
        <w:t>icolo</w:t>
      </w:r>
      <w:r>
        <w:t xml:space="preserve"> 1, commi 837 e ss., della L</w:t>
      </w:r>
      <w:r>
        <w:t>egge</w:t>
      </w:r>
      <w:r>
        <w:t xml:space="preserve"> n. 160/2019 ha introdotto</w:t>
      </w:r>
      <w:r>
        <w:t>,</w:t>
      </w:r>
      <w:r>
        <w:t xml:space="preserve"> a decorrere dal 1°</w:t>
      </w:r>
      <w:r>
        <w:t xml:space="preserve"> </w:t>
      </w:r>
      <w:r>
        <w:t>gennaio 2021</w:t>
      </w:r>
      <w:r>
        <w:t>,</w:t>
      </w:r>
      <w:r>
        <w:t xml:space="preserve"> il c</w:t>
      </w:r>
      <w:r>
        <w:t>osiddetto</w:t>
      </w:r>
      <w:r>
        <w:t xml:space="preserve"> </w:t>
      </w:r>
      <w:r>
        <w:t>C</w:t>
      </w:r>
      <w:r>
        <w:t xml:space="preserve">anone </w:t>
      </w:r>
      <w:r>
        <w:t>U</w:t>
      </w:r>
      <w:r>
        <w:t xml:space="preserve">nico </w:t>
      </w:r>
      <w:r>
        <w:t>M</w:t>
      </w:r>
      <w:r>
        <w:t>ercatale, ossia il canone di concessione per l'occupazione delle aree e degli spazi appartenenti al demanio o al patrimonio indisponibile dei comuni e delle città metropolitane, destinati a mercati realizzati anche in strutture attrezzate.</w:t>
      </w:r>
    </w:p>
    <w:p w14:paraId="33492195" w14:textId="475D730A" w:rsidR="00A348E3" w:rsidRDefault="00A348E3" w:rsidP="001C3322">
      <w:pPr>
        <w:jc w:val="both"/>
      </w:pPr>
      <w:r>
        <w:t>Per chiara previsione di legge, il canone si applica in deroga alle disposizioni sul canone unico patrimoniale</w:t>
      </w:r>
      <w:r w:rsidR="001C3322">
        <w:t>,</w:t>
      </w:r>
      <w:r>
        <w:t xml:space="preserve"> di cui all’art. 1, comma 816, della L. n. 160/2019</w:t>
      </w:r>
      <w:r w:rsidR="001C3322">
        <w:t>,</w:t>
      </w:r>
      <w:r>
        <w:t xml:space="preserve"> e </w:t>
      </w:r>
      <w:r>
        <w:t>sostituisce la tassa per l'occupazione di spazi ed aree pubbliche (TOSAP), il canone per l'occupazione di spazi ed aree pubbliche (COSAP), e, limitatamente ai casi di occupazioni temporanee ex art. 1, comma 842, della stessa L. n. 160/2019, i prelievi sui rifiuti (TARI)</w:t>
      </w:r>
      <w:r w:rsidR="001C3322">
        <w:t xml:space="preserve">. Il nuovo canone </w:t>
      </w:r>
      <w:r>
        <w:t>è determinato dal comune o dalla città metropolitana in base alla durata, alla tipologia, alla superficie dell'occupazione espressa in metri quadrati e alla zona del territorio in cui viene effettuata.</w:t>
      </w:r>
    </w:p>
    <w:p w14:paraId="1703F590" w14:textId="090EEC30" w:rsidR="00576D14" w:rsidRDefault="00A348E3" w:rsidP="00576D14">
      <w:pPr>
        <w:jc w:val="both"/>
      </w:pPr>
      <w:r>
        <w:t>In relazione alla quantificazione del canone in esame, poi, l’art</w:t>
      </w:r>
      <w:r w:rsidR="00576D14">
        <w:t>icolo</w:t>
      </w:r>
      <w:r>
        <w:t xml:space="preserve"> 1, commi 841 e 842, della L. n. 160/2019 stabilisce due tariffe standard di riferimento, entrambe basate su una suddivisione dei comuni in cinque classi demografiche: la tariffa di base annuale per le occupazioni che si protraggono per l’intero anno solare (comma 841) e la tariffa di base</w:t>
      </w:r>
      <w:r w:rsidR="00576D14">
        <w:t xml:space="preserve"> </w:t>
      </w:r>
      <w:r w:rsidR="00576D14">
        <w:t>giornaliera per le occupazioni che, invece, si protraggono per un periodo inferiore all’anno (comma 842).</w:t>
      </w:r>
      <w:r w:rsidR="00576D14">
        <w:t xml:space="preserve"> </w:t>
      </w:r>
      <w:r w:rsidR="00576D14">
        <w:t>Con riguardo a quest’ultima tariffa giornaliera, il successivo comma 843 dello stesso art</w:t>
      </w:r>
      <w:r w:rsidR="001C3322">
        <w:t>icolo</w:t>
      </w:r>
      <w:r w:rsidR="00576D14">
        <w:t xml:space="preserve"> 1, prevede che</w:t>
      </w:r>
      <w:r w:rsidR="00576D14">
        <w:t xml:space="preserve"> </w:t>
      </w:r>
      <w:r w:rsidR="00576D14">
        <w:t>i comuni e le città metropolitane applichino la tariffa de qua frazionata per ore, fino a un massimo di 9 in relazione all’orario effettivo, in ragione della superficie occupata, ferma tuttavia la possibilità di prevedere riduzioni</w:t>
      </w:r>
      <w:r w:rsidR="00576D14">
        <w:t xml:space="preserve">, </w:t>
      </w:r>
      <w:r w:rsidR="00576D14">
        <w:t>esenzioni e aumenti nella misura massima del 25 per cento della medesima tariffa</w:t>
      </w:r>
      <w:r w:rsidR="00576D14">
        <w:t>.</w:t>
      </w:r>
    </w:p>
    <w:p w14:paraId="19842C4D" w14:textId="3FB663E7" w:rsidR="00576D14" w:rsidRDefault="001C3322" w:rsidP="00576D14">
      <w:pPr>
        <w:jc w:val="both"/>
        <w:rPr>
          <w:i/>
          <w:iCs/>
        </w:rPr>
      </w:pPr>
      <w:r>
        <w:t xml:space="preserve">Una delle disposizioni che hanno suscitato maggiori perplessità e interrogativi sulla corretta applicazione è rappresentata dal seguente passaggio contenuto nel </w:t>
      </w:r>
      <w:r w:rsidR="00576D14">
        <w:t xml:space="preserve">comma 843: </w:t>
      </w:r>
      <w:r w:rsidR="00576D14" w:rsidRPr="00B60320">
        <w:rPr>
          <w:b/>
          <w:bCs/>
          <w:i/>
          <w:iCs/>
        </w:rPr>
        <w:t>“…</w:t>
      </w:r>
      <w:r w:rsidR="00576D14" w:rsidRPr="00B60320">
        <w:rPr>
          <w:b/>
          <w:bCs/>
          <w:i/>
          <w:iCs/>
        </w:rPr>
        <w:t>Per le occupazioni</w:t>
      </w:r>
      <w:r w:rsidR="00576D14" w:rsidRPr="00B60320">
        <w:rPr>
          <w:b/>
          <w:bCs/>
          <w:i/>
          <w:iCs/>
        </w:rPr>
        <w:t xml:space="preserve"> </w:t>
      </w:r>
      <w:r w:rsidR="00576D14" w:rsidRPr="00B60320">
        <w:rPr>
          <w:b/>
          <w:bCs/>
          <w:i/>
          <w:iCs/>
        </w:rPr>
        <w:t>nei mercati che si svolgono con</w:t>
      </w:r>
      <w:r w:rsidR="00576D14" w:rsidRPr="00B60320">
        <w:rPr>
          <w:b/>
          <w:bCs/>
          <w:i/>
          <w:iCs/>
        </w:rPr>
        <w:t xml:space="preserve"> </w:t>
      </w:r>
      <w:r w:rsidR="00576D14" w:rsidRPr="00B60320">
        <w:rPr>
          <w:b/>
          <w:bCs/>
          <w:i/>
          <w:iCs/>
        </w:rPr>
        <w:t>carattere ricorrente e con cadenza settimanale</w:t>
      </w:r>
      <w:r w:rsidR="00576D14" w:rsidRPr="00B60320">
        <w:rPr>
          <w:b/>
          <w:bCs/>
          <w:i/>
          <w:iCs/>
        </w:rPr>
        <w:t xml:space="preserve"> </w:t>
      </w:r>
      <w:r w:rsidR="00576D14" w:rsidRPr="00B60320">
        <w:rPr>
          <w:b/>
          <w:bCs/>
          <w:i/>
          <w:iCs/>
        </w:rPr>
        <w:t>è applicata una riduzione dal 30 al 40</w:t>
      </w:r>
      <w:r w:rsidR="00576D14" w:rsidRPr="00B60320">
        <w:rPr>
          <w:b/>
          <w:bCs/>
          <w:i/>
          <w:iCs/>
        </w:rPr>
        <w:t xml:space="preserve"> </w:t>
      </w:r>
      <w:r w:rsidR="00576D14" w:rsidRPr="00B60320">
        <w:rPr>
          <w:b/>
          <w:bCs/>
          <w:i/>
          <w:iCs/>
        </w:rPr>
        <w:t>per cento sul canone complessivamente determinato</w:t>
      </w:r>
      <w:r w:rsidR="00576D14" w:rsidRPr="00B60320">
        <w:rPr>
          <w:b/>
          <w:bCs/>
          <w:i/>
          <w:iCs/>
        </w:rPr>
        <w:t xml:space="preserve"> </w:t>
      </w:r>
      <w:r w:rsidR="00576D14" w:rsidRPr="00B60320">
        <w:rPr>
          <w:b/>
          <w:bCs/>
          <w:i/>
          <w:iCs/>
        </w:rPr>
        <w:t>ai sensi del periodo precedente</w:t>
      </w:r>
      <w:r w:rsidR="00576D14" w:rsidRPr="00B60320">
        <w:rPr>
          <w:b/>
          <w:bCs/>
          <w:i/>
          <w:iCs/>
        </w:rPr>
        <w:t>…”</w:t>
      </w:r>
    </w:p>
    <w:p w14:paraId="05ABD294" w14:textId="2725B841" w:rsidR="00C514AE" w:rsidRPr="00C514AE" w:rsidRDefault="00C514AE" w:rsidP="00576D14">
      <w:pPr>
        <w:jc w:val="both"/>
      </w:pPr>
      <w:r>
        <w:t>Perché mai il Legislatore ha voluto imporre una misura di agevolazione sulla tariffa solo per i mercati che hanno una cadenza settimanale? Perché creare disparità rispetto a</w:t>
      </w:r>
      <w:r w:rsidR="00064A53">
        <w:t xml:space="preserve"> quei</w:t>
      </w:r>
      <w:r>
        <w:t xml:space="preserve"> mercati che</w:t>
      </w:r>
      <w:r w:rsidR="00064A53">
        <w:t xml:space="preserve"> invece</w:t>
      </w:r>
      <w:r>
        <w:t xml:space="preserve"> si svolgono due o più giorni a settimana, o che si svolgono ogni due settimane? Anche quest</w:t>
      </w:r>
      <w:r w:rsidR="00B60320">
        <w:t>e attività del commercio ambulante</w:t>
      </w:r>
      <w:r>
        <w:t xml:space="preserve"> hanno la caratteristica di “attività ricorrente”, tuttavia sono carenti del requisito “settimanale” che farebbe perdere loro l’agevolazione stabilita dal Legislatore.</w:t>
      </w:r>
    </w:p>
    <w:p w14:paraId="566D1BD2" w14:textId="6EE9A00C" w:rsidR="00576D14" w:rsidRDefault="00576D14" w:rsidP="001C3322">
      <w:pPr>
        <w:jc w:val="both"/>
      </w:pPr>
      <w:r>
        <w:t>Su questa specifica disposizione</w:t>
      </w:r>
      <w:r w:rsidR="00064A53">
        <w:t xml:space="preserve">, di cui oggettivamente non se ne capisce la ratio, </w:t>
      </w:r>
      <w:r>
        <w:t xml:space="preserve"> è intervenuta la Corte dei Conti Puglia, </w:t>
      </w:r>
      <w:r w:rsidR="001C3322">
        <w:t xml:space="preserve">rilasciando </w:t>
      </w:r>
      <w:r>
        <w:t xml:space="preserve"> il parere n. 56 del 11 aprile scorso, </w:t>
      </w:r>
      <w:r w:rsidR="001C3322">
        <w:t>nel quale</w:t>
      </w:r>
      <w:r>
        <w:t xml:space="preserve">, dopo aver ricostruito </w:t>
      </w:r>
      <w:r>
        <w:t xml:space="preserve">il quadro normativo di riferimento,  </w:t>
      </w:r>
      <w:r>
        <w:t xml:space="preserve">e </w:t>
      </w:r>
      <w:r>
        <w:t>rammenta</w:t>
      </w:r>
      <w:r>
        <w:t>to</w:t>
      </w:r>
      <w:r>
        <w:t xml:space="preserve"> che, ai sensi dell’art. 12 Preleggi “</w:t>
      </w:r>
      <w:r w:rsidRPr="00576D14">
        <w:rPr>
          <w:i/>
          <w:iCs/>
        </w:rPr>
        <w:t>nell'applicare la legge non si può ad essa attribuire altro senso che quello fatto palese dal significato proprio delle parole secondo la connessione di esse, e dalla intenzione del legislatore</w:t>
      </w:r>
      <w:r>
        <w:t>”</w:t>
      </w:r>
      <w:r w:rsidR="001C3322">
        <w:t xml:space="preserve">, si esprime sulla portata della disposizione, chiarendo </w:t>
      </w:r>
      <w:r w:rsidR="00C514AE">
        <w:t xml:space="preserve">e confermando </w:t>
      </w:r>
      <w:r w:rsidR="001C3322">
        <w:t>come questa agevolazione disposta per Legge sia applicabile</w:t>
      </w:r>
      <w:r w:rsidR="00064A53">
        <w:t>, nonostante le perplessità degli operatori del settore,</w:t>
      </w:r>
      <w:r w:rsidR="001C3322">
        <w:t xml:space="preserve"> </w:t>
      </w:r>
      <w:r w:rsidR="00C514AE">
        <w:t xml:space="preserve">solo </w:t>
      </w:r>
      <w:r w:rsidR="001C3322">
        <w:t>a condizione che il mercato in cui insiste l’occupazione abbia una specifica cadenza settimanale, escludendo così i casi di mercati con cadenza giornaliera, bisettimanale, mensile, ecc…</w:t>
      </w:r>
    </w:p>
    <w:p w14:paraId="27C3BA65" w14:textId="212FADD3" w:rsidR="00DD6D60" w:rsidRDefault="00576D14" w:rsidP="001C3322">
      <w:pPr>
        <w:jc w:val="both"/>
      </w:pPr>
      <w:r>
        <w:t>A tale soluzione</w:t>
      </w:r>
      <w:r w:rsidR="001C3322">
        <w:t xml:space="preserve">, la Corte dei Conti, </w:t>
      </w:r>
      <w:r>
        <w:t>perviene valorizzando i seguenti profili letterali, entrambi evincibili dal testo del comma 843 del citato art. 1:</w:t>
      </w:r>
      <w:r w:rsidR="001C3322">
        <w:t xml:space="preserve"> </w:t>
      </w:r>
      <w:r>
        <w:t>l’utilizzo dell’aggettivo “ricorrente”, per indicare ciò che si manifesta o si ripete periodicamente nel tempo;</w:t>
      </w:r>
      <w:r w:rsidR="001C3322">
        <w:t xml:space="preserve"> </w:t>
      </w:r>
      <w:r>
        <w:t>l’impiego della congiunzione “e” con funzione coordinativa tra le due locuzioni “a carattere ricorrente” e “a cadenza settimanale”: ne deriva che i due requisiti rappresentati</w:t>
      </w:r>
      <w:r w:rsidR="001C3322">
        <w:t xml:space="preserve"> </w:t>
      </w:r>
      <w:r w:rsidR="001C3322">
        <w:t>dal carattere ricorrente e dalla cadenza settimanale</w:t>
      </w:r>
      <w:r w:rsidR="001C3322">
        <w:t xml:space="preserve"> </w:t>
      </w:r>
      <w:r w:rsidR="001C3322">
        <w:t>devono essere presenti contestualmente</w:t>
      </w:r>
      <w:r w:rsidR="001C3322">
        <w:t>.</w:t>
      </w:r>
    </w:p>
    <w:p w14:paraId="654B2275" w14:textId="5F1EE675" w:rsidR="001C3322" w:rsidRDefault="001C3322" w:rsidP="001C3322">
      <w:pPr>
        <w:jc w:val="both"/>
        <w:rPr>
          <w:i/>
          <w:iCs/>
        </w:rPr>
      </w:pPr>
      <w:r>
        <w:lastRenderedPageBreak/>
        <w:t>Nel</w:t>
      </w:r>
      <w:r w:rsidR="00064A53">
        <w:t xml:space="preserve">la parte conclusiva del parere </w:t>
      </w:r>
      <w:r>
        <w:t xml:space="preserve">si legge: </w:t>
      </w:r>
      <w:r w:rsidRPr="00064A53">
        <w:t>“</w:t>
      </w:r>
      <w:r w:rsidRPr="00064A53">
        <w:rPr>
          <w:i/>
          <w:iCs/>
        </w:rPr>
        <w:t>Tanto considerato, è necessario concludere nel senso che il Legislatore – nella parte in cui riserva la riduzione della tariffa di base giornaliera alle “occupazioni nei mercati che si svolgono con carattere ricorrente e con cadenza settimanale” – intenda riferirsi esclusivamente ai mercati che si ripetono periodicamente nel tempo con frequenza settimanale.</w:t>
      </w:r>
      <w:r w:rsidRPr="00064A53">
        <w:rPr>
          <w:i/>
          <w:iCs/>
        </w:rPr>
        <w:t>”</w:t>
      </w:r>
    </w:p>
    <w:p w14:paraId="2E2C2549" w14:textId="39D0551D" w:rsidR="00064A53" w:rsidRDefault="00064A53" w:rsidP="001C3322">
      <w:pPr>
        <w:jc w:val="both"/>
      </w:pPr>
      <w:r>
        <w:t xml:space="preserve">In definitiva, seppur </w:t>
      </w:r>
      <w:r w:rsidR="00B60320">
        <w:t>continua a rimanere in</w:t>
      </w:r>
      <w:r>
        <w:t xml:space="preserve">comprensibile la ratio in base alla quale il Legislatore abbia voluto imporre una riduzione tariffaria  obbligatoria solo per i mercati con cadenza settimanale, con buona pace di tutti, Comuni, associazioni della categoria ambulanti e operatori mercatali stessi, l’agevolazione non potrà che trovare applicazione solo nei mercati settimanali, così come </w:t>
      </w:r>
      <w:r w:rsidR="00B60320">
        <w:t xml:space="preserve">confermato con il </w:t>
      </w:r>
      <w:r>
        <w:t xml:space="preserve">parere </w:t>
      </w:r>
      <w:r w:rsidR="00B60320">
        <w:t xml:space="preserve">in commento </w:t>
      </w:r>
      <w:r>
        <w:t>espresso dalla Corte dei Conti Puglia a cui si era rivolta un comune del foggiano.</w:t>
      </w:r>
    </w:p>
    <w:p w14:paraId="4125585A" w14:textId="77777777" w:rsidR="00064A53" w:rsidRDefault="00064A53" w:rsidP="001C3322">
      <w:pPr>
        <w:jc w:val="both"/>
      </w:pPr>
    </w:p>
    <w:p w14:paraId="3C873207" w14:textId="75F7DC8C" w:rsidR="00064A53" w:rsidRPr="00B60320" w:rsidRDefault="00064A53" w:rsidP="001C3322">
      <w:pPr>
        <w:jc w:val="both"/>
        <w:rPr>
          <w:u w:val="single"/>
        </w:rPr>
      </w:pPr>
      <w:r w:rsidRPr="00B60320">
        <w:rPr>
          <w:u w:val="single"/>
        </w:rPr>
        <w:t>deliberazione n. 56/2024/PAR</w:t>
      </w:r>
      <w:r w:rsidRPr="00B60320">
        <w:rPr>
          <w:u w:val="single"/>
        </w:rPr>
        <w:t xml:space="preserve"> – Corte dei Conti - </w:t>
      </w:r>
      <w:r w:rsidRPr="00B60320">
        <w:rPr>
          <w:u w:val="single"/>
        </w:rPr>
        <w:t>SEZIONE REGIONALE DI CONTROLLO PER LA PUGLIA</w:t>
      </w:r>
    </w:p>
    <w:sectPr w:rsidR="00064A53" w:rsidRPr="00B6032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D60"/>
    <w:rsid w:val="00060149"/>
    <w:rsid w:val="00064A53"/>
    <w:rsid w:val="001C3322"/>
    <w:rsid w:val="00576D14"/>
    <w:rsid w:val="00622595"/>
    <w:rsid w:val="00A348E3"/>
    <w:rsid w:val="00B60320"/>
    <w:rsid w:val="00C514AE"/>
    <w:rsid w:val="00DD6D6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8BA57"/>
  <w15:chartTrackingRefBased/>
  <w15:docId w15:val="{4B3108F4-3971-4629-BE2D-3CADDF2AA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796</Words>
  <Characters>4543</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2024-05-07T14:48:00Z</dcterms:created>
  <dcterms:modified xsi:type="dcterms:W3CDTF">2024-05-07T15:03:00Z</dcterms:modified>
</cp:coreProperties>
</file>