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CDC762" w14:textId="56E38EB6" w:rsidR="006672EA" w:rsidRDefault="00B9023D">
      <w:r>
        <w:t>Titolo: le manomissioni stradali del servizio idrico devono pagare il CUP</w:t>
      </w:r>
    </w:p>
    <w:p w14:paraId="183865AB" w14:textId="79992696" w:rsidR="00B9023D" w:rsidRDefault="00B9023D">
      <w:r>
        <w:t>Di Alessandro Merciari</w:t>
      </w:r>
    </w:p>
    <w:p w14:paraId="1BE74F48" w14:textId="77777777" w:rsidR="00B9023D" w:rsidRDefault="00B9023D"/>
    <w:p w14:paraId="0ED520E6" w14:textId="0BFCCA88" w:rsidR="00B9023D" w:rsidRDefault="00B9023D" w:rsidP="00B9023D">
      <w:pPr>
        <w:jc w:val="both"/>
      </w:pPr>
      <w:r>
        <w:t xml:space="preserve">Quante volte </w:t>
      </w:r>
      <w:r w:rsidR="0033312F">
        <w:t>ci siamo imbattuti</w:t>
      </w:r>
      <w:r>
        <w:t xml:space="preserve"> lungo le nostre strade urbane </w:t>
      </w:r>
      <w:r w:rsidR="0033312F">
        <w:t xml:space="preserve">in </w:t>
      </w:r>
      <w:r>
        <w:t xml:space="preserve">enormi </w:t>
      </w:r>
      <w:r w:rsidR="0033312F">
        <w:t>cantieri con scavi</w:t>
      </w:r>
      <w:r>
        <w:t xml:space="preserve"> nel manto stradale necessari per sostituire, manutenere o allacciare utenze alla rete idrica? Quante</w:t>
      </w:r>
      <w:r w:rsidR="0033312F">
        <w:t xml:space="preserve"> di queste</w:t>
      </w:r>
      <w:r>
        <w:t xml:space="preserve"> iniziative versano </w:t>
      </w:r>
      <w:r w:rsidR="0033312F">
        <w:t xml:space="preserve">regolarmente </w:t>
      </w:r>
      <w:r>
        <w:t xml:space="preserve">il Canone per l’occupazione temporanea realizzata </w:t>
      </w:r>
      <w:r w:rsidR="0033312F">
        <w:t xml:space="preserve">come cantiere </w:t>
      </w:r>
      <w:r>
        <w:t xml:space="preserve">su aree appartenenti al patrimonio indisponibile? </w:t>
      </w:r>
    </w:p>
    <w:p w14:paraId="20F91955" w14:textId="64E442FE" w:rsidR="00853ABD" w:rsidRDefault="00B9023D" w:rsidP="00B9023D">
      <w:pPr>
        <w:jc w:val="both"/>
      </w:pPr>
      <w:r>
        <w:t xml:space="preserve">Situazioni </w:t>
      </w:r>
      <w:r w:rsidR="0033312F">
        <w:t xml:space="preserve">certamente </w:t>
      </w:r>
      <w:r>
        <w:t xml:space="preserve">attratte nel presupposto che tuttavia spesso sfuggono al pagamento per errate interpretazioni della norma in relazione a presunti requisiti soggettivi che garantirebbero l’esenzione o per </w:t>
      </w:r>
      <w:r w:rsidR="0033312F">
        <w:t>altri</w:t>
      </w:r>
      <w:r>
        <w:t xml:space="preserve"> requisiti oggettivi che </w:t>
      </w:r>
      <w:r w:rsidR="00853ABD">
        <w:t>altrettanto</w:t>
      </w:r>
      <w:r>
        <w:t xml:space="preserve"> fornirebbero</w:t>
      </w:r>
      <w:r w:rsidR="0033312F">
        <w:t xml:space="preserve"> all’occupante motivo</w:t>
      </w:r>
      <w:r>
        <w:t xml:space="preserve"> di esclusi</w:t>
      </w:r>
      <w:r w:rsidR="00853ABD">
        <w:t xml:space="preserve">one. </w:t>
      </w:r>
    </w:p>
    <w:p w14:paraId="59523522" w14:textId="45412723" w:rsidR="00B9023D" w:rsidRDefault="00853ABD" w:rsidP="00B9023D">
      <w:pPr>
        <w:jc w:val="both"/>
      </w:pPr>
      <w:r>
        <w:t>Invece sull’applicazione del canone</w:t>
      </w:r>
      <w:r w:rsidR="0033312F">
        <w:t>,</w:t>
      </w:r>
      <w:r>
        <w:t xml:space="preserve"> con applicazione della tariffa temporanea</w:t>
      </w:r>
      <w:r w:rsidR="0033312F">
        <w:t>,</w:t>
      </w:r>
      <w:r>
        <w:t xml:space="preserve"> non vi è dubbio</w:t>
      </w:r>
      <w:r w:rsidR="0033312F">
        <w:t>,</w:t>
      </w:r>
      <w:r>
        <w:t xml:space="preserve"> anche quando l’occupazione viene realizzata per interventi sull’infrastruttura idrica di proprietà pubblica data in uso gratuito al </w:t>
      </w:r>
      <w:r w:rsidR="0033312F">
        <w:t xml:space="preserve">soggetto </w:t>
      </w:r>
      <w:r>
        <w:t xml:space="preserve">gestore del Ciclo </w:t>
      </w:r>
      <w:r w:rsidR="0033312F">
        <w:t>I</w:t>
      </w:r>
      <w:r>
        <w:t xml:space="preserve">drico </w:t>
      </w:r>
      <w:r w:rsidR="0033312F">
        <w:t>I</w:t>
      </w:r>
      <w:r>
        <w:t xml:space="preserve">ntegrato. </w:t>
      </w:r>
    </w:p>
    <w:p w14:paraId="5393C049" w14:textId="77777777" w:rsidR="009D0BED" w:rsidRDefault="00853ABD" w:rsidP="00B9023D">
      <w:pPr>
        <w:jc w:val="both"/>
      </w:pPr>
      <w:r>
        <w:t xml:space="preserve">È quanto disposto nella sentenza del </w:t>
      </w:r>
      <w:r w:rsidRPr="00853ABD">
        <w:t xml:space="preserve">Giudice di Pace di Treviso </w:t>
      </w:r>
      <w:r>
        <w:t>numero</w:t>
      </w:r>
      <w:r w:rsidRPr="00853ABD">
        <w:t xml:space="preserve"> 788 del 15/10/2025</w:t>
      </w:r>
      <w:r>
        <w:t xml:space="preserve">. </w:t>
      </w:r>
    </w:p>
    <w:p w14:paraId="33BE8A2E" w14:textId="77777777" w:rsidR="0033312F" w:rsidRDefault="00A55ED9" w:rsidP="00B9023D">
      <w:pPr>
        <w:jc w:val="both"/>
      </w:pPr>
      <w:r>
        <w:t>Innanzi tutto n</w:t>
      </w:r>
      <w:r w:rsidR="00853ABD">
        <w:t>ella sentenza si legge</w:t>
      </w:r>
      <w:r>
        <w:t xml:space="preserve"> un passaggio interessante che caratterizza il CUP come </w:t>
      </w:r>
      <w:r w:rsidRPr="00A55ED9">
        <w:t>entrata di natura pubblicistica avente natura impositiva, assoggettat</w:t>
      </w:r>
      <w:r>
        <w:t>a</w:t>
      </w:r>
      <w:r w:rsidRPr="00A55ED9">
        <w:t xml:space="preserve"> ai principi generali del procedimento tributario di accertamento ed all’onere di motivazione di cui</w:t>
      </w:r>
      <w:r>
        <w:t xml:space="preserve"> </w:t>
      </w:r>
      <w:r w:rsidRPr="00A55ED9">
        <w:t>all’art. 7 co 1 L. 27.07.2000 n° 212 (Statuto dei diritti del contribuente)</w:t>
      </w:r>
      <w:r w:rsidR="009D0BED">
        <w:t xml:space="preserve">. </w:t>
      </w:r>
    </w:p>
    <w:p w14:paraId="41DCDD44" w14:textId="6881F0FA" w:rsidR="00853ABD" w:rsidRDefault="009D0BED" w:rsidP="00B9023D">
      <w:pPr>
        <w:jc w:val="both"/>
      </w:pPr>
      <w:r>
        <w:t>Concetto</w:t>
      </w:r>
      <w:r w:rsidR="0033312F">
        <w:t xml:space="preserve"> richiamato dal Gdp di </w:t>
      </w:r>
      <w:r w:rsidR="009E1A3A">
        <w:t>Treviso utile</w:t>
      </w:r>
      <w:r w:rsidR="0033312F">
        <w:t xml:space="preserve"> per ricordare come deve essere impostata </w:t>
      </w:r>
      <w:r>
        <w:t>la gestione di questa entrata</w:t>
      </w:r>
      <w:r w:rsidR="0033312F">
        <w:t>,</w:t>
      </w:r>
      <w:r>
        <w:t xml:space="preserve"> della quale oggi s</w:t>
      </w:r>
      <w:r w:rsidR="0033312F">
        <w:t>e ne</w:t>
      </w:r>
      <w:r>
        <w:t xml:space="preserve"> sta ancora dibattendo la natura</w:t>
      </w:r>
      <w:r w:rsidR="0033312F">
        <w:t>.</w:t>
      </w:r>
    </w:p>
    <w:p w14:paraId="3796B65A" w14:textId="7A3054B8" w:rsidR="00BC5B15" w:rsidRDefault="003872DE" w:rsidP="00B9023D">
      <w:pPr>
        <w:jc w:val="both"/>
      </w:pPr>
      <w:r>
        <w:t xml:space="preserve">La questione affrontata nel giudizio riguarda la richiesta di pagamento </w:t>
      </w:r>
      <w:r w:rsidR="00BC5B15">
        <w:t xml:space="preserve">del CUP per occupazione temporanea a carico della </w:t>
      </w:r>
      <w:r>
        <w:t>società concessionaria del servizio idrico</w:t>
      </w:r>
      <w:r w:rsidR="00BC5B15">
        <w:t xml:space="preserve"> nell’</w:t>
      </w:r>
      <w:r w:rsidR="00BC5B15" w:rsidRPr="00BC5B15">
        <w:t xml:space="preserve">Ambito Territoriale Ottimale </w:t>
      </w:r>
      <w:r w:rsidR="00BC5B15">
        <w:t xml:space="preserve">denominato </w:t>
      </w:r>
      <w:r w:rsidR="00BC5B15" w:rsidRPr="00BC5B15">
        <w:t>Veneto Orientale</w:t>
      </w:r>
      <w:r w:rsidR="00BC5B15">
        <w:t xml:space="preserve">. </w:t>
      </w:r>
    </w:p>
    <w:p w14:paraId="48157ECC" w14:textId="1C787091" w:rsidR="00BC5B15" w:rsidRDefault="00BC5B15" w:rsidP="00B9023D">
      <w:pPr>
        <w:jc w:val="both"/>
      </w:pPr>
      <w:r>
        <w:t xml:space="preserve">La società presenta ricorso contro la richiesta ritenendosi esente dal pagamento in considerazione </w:t>
      </w:r>
      <w:r w:rsidR="00857794">
        <w:t xml:space="preserve">innanzi tutto </w:t>
      </w:r>
      <w:r>
        <w:t>della</w:t>
      </w:r>
      <w:r w:rsidR="00857794">
        <w:t xml:space="preserve"> inapplicabilità del CUP stante il rapporto di specialità degli articoli 151 – 153 del </w:t>
      </w:r>
      <w:proofErr w:type="spellStart"/>
      <w:r w:rsidR="00857794">
        <w:t>D.Lgs</w:t>
      </w:r>
      <w:proofErr w:type="spellEnd"/>
      <w:r w:rsidR="00857794">
        <w:t xml:space="preserve"> 152/2006 rispetto alla Legge n. 160/2019 e in più per effetto della</w:t>
      </w:r>
      <w:r>
        <w:t xml:space="preserve"> devoluzione gratuita </w:t>
      </w:r>
      <w:r w:rsidR="00D206A1">
        <w:t>prevista</w:t>
      </w:r>
      <w:r>
        <w:t xml:space="preserve"> al termine della concessione</w:t>
      </w:r>
      <w:r w:rsidR="00D206A1">
        <w:t xml:space="preserve"> </w:t>
      </w:r>
      <w:r>
        <w:t>che garantirebbe l’</w:t>
      </w:r>
      <w:r w:rsidR="00D206A1">
        <w:t>esenzione</w:t>
      </w:r>
      <w:r>
        <w:t xml:space="preserve"> ai </w:t>
      </w:r>
      <w:r w:rsidR="00D206A1">
        <w:t>sensi</w:t>
      </w:r>
      <w:r>
        <w:t xml:space="preserve"> della </w:t>
      </w:r>
      <w:r w:rsidR="00D206A1">
        <w:t>lettera</w:t>
      </w:r>
      <w:r>
        <w:t xml:space="preserve"> D del comma 833 L. 160/2019</w:t>
      </w:r>
      <w:r w:rsidR="00857794">
        <w:t>.</w:t>
      </w:r>
    </w:p>
    <w:p w14:paraId="6C27E1CC" w14:textId="7775FB0B" w:rsidR="00857794" w:rsidRDefault="00E6677E" w:rsidP="00B817D4">
      <w:pPr>
        <w:jc w:val="both"/>
      </w:pPr>
      <w:r>
        <w:t>Sul motivo di inapplicabilità del CUP per il rapporto di specialità previsto nel Codice dell’Ambiente</w:t>
      </w:r>
      <w:r w:rsidR="00B817D4">
        <w:t xml:space="preserve"> il Giudice chiarisce che: </w:t>
      </w:r>
      <w:r w:rsidR="00B817D4" w:rsidRPr="00B817D4">
        <w:rPr>
          <w:i/>
          <w:iCs/>
        </w:rPr>
        <w:t>“</w:t>
      </w:r>
      <w:r w:rsidR="00B817D4" w:rsidRPr="00B817D4">
        <w:rPr>
          <w:i/>
          <w:iCs/>
        </w:rPr>
        <w:t xml:space="preserve">Ed invero, ritenuto che le richiamate disposizioni di cui alla L. n° 160/2019 ed al </w:t>
      </w:r>
      <w:proofErr w:type="spellStart"/>
      <w:r w:rsidR="00B817D4" w:rsidRPr="00B817D4">
        <w:rPr>
          <w:i/>
          <w:iCs/>
        </w:rPr>
        <w:t>D.Lgs.</w:t>
      </w:r>
      <w:proofErr w:type="spellEnd"/>
      <w:r w:rsidR="00B817D4" w:rsidRPr="00B817D4">
        <w:rPr>
          <w:i/>
          <w:iCs/>
        </w:rPr>
        <w:t xml:space="preserve"> n° 152/2006 (Codice dell’Ambiente) attengono ad ambiti e finalità differenti tra loro, in relazione a quanto eccepito da parte </w:t>
      </w:r>
      <w:r w:rsidR="005446D6" w:rsidRPr="005446D6">
        <w:rPr>
          <w:i/>
          <w:iCs/>
        </w:rPr>
        <w:t xml:space="preserve">opponente ed al richiamo del “… Rapporto di specialità degli artt. 151-153 del </w:t>
      </w:r>
      <w:proofErr w:type="spellStart"/>
      <w:r w:rsidR="005446D6" w:rsidRPr="005446D6">
        <w:rPr>
          <w:i/>
          <w:iCs/>
        </w:rPr>
        <w:t>D.Lgs.</w:t>
      </w:r>
      <w:proofErr w:type="spellEnd"/>
      <w:r w:rsidR="005446D6" w:rsidRPr="005446D6">
        <w:rPr>
          <w:i/>
          <w:iCs/>
        </w:rPr>
        <w:t xml:space="preserve"> 152/2006 rispetto alla L. n. 160/2019 …” è da evidenziarsi che </w:t>
      </w:r>
      <w:r w:rsidR="00B817D4" w:rsidRPr="00B817D4">
        <w:rPr>
          <w:i/>
          <w:iCs/>
        </w:rPr>
        <w:t>…”</w:t>
      </w:r>
      <w:r w:rsidR="005446D6">
        <w:t xml:space="preserve"> e qui il giudice richiama </w:t>
      </w:r>
      <w:r w:rsidR="00B817D4">
        <w:t xml:space="preserve">quanto già stabilito dalla Corte di Cassazione </w:t>
      </w:r>
      <w:r w:rsidR="005446D6">
        <w:t>nella</w:t>
      </w:r>
      <w:r w:rsidR="00B817D4">
        <w:t xml:space="preserve"> sentenza </w:t>
      </w:r>
      <w:r w:rsidR="00B817D4" w:rsidRPr="00B817D4">
        <w:t xml:space="preserve">Cass. </w:t>
      </w:r>
      <w:proofErr w:type="spellStart"/>
      <w:r w:rsidR="00B817D4" w:rsidRPr="00B817D4">
        <w:t>Civ</w:t>
      </w:r>
      <w:proofErr w:type="spellEnd"/>
      <w:r w:rsidR="00B817D4" w:rsidRPr="00B817D4">
        <w:t>., SS.UU.</w:t>
      </w:r>
      <w:r w:rsidR="005446D6">
        <w:t xml:space="preserve"> </w:t>
      </w:r>
      <w:r w:rsidR="00B817D4" w:rsidRPr="00B817D4">
        <w:t>n° 31752 del 05.12.2019</w:t>
      </w:r>
      <w:r w:rsidR="005446D6">
        <w:t xml:space="preserve"> nella quale si stabiliva:</w:t>
      </w:r>
    </w:p>
    <w:p w14:paraId="47E78CAB" w14:textId="4A2EA3E3" w:rsidR="005446D6" w:rsidRPr="005446D6" w:rsidRDefault="005446D6" w:rsidP="005446D6">
      <w:pPr>
        <w:jc w:val="both"/>
        <w:rPr>
          <w:i/>
          <w:iCs/>
        </w:rPr>
      </w:pPr>
      <w:r w:rsidRPr="005446D6">
        <w:rPr>
          <w:i/>
          <w:iCs/>
        </w:rPr>
        <w:t>“… I canoni di concessione per l'utilizzo di superfici demaniali a carico dei concessionari del</w:t>
      </w:r>
      <w:r w:rsidRPr="005446D6">
        <w:rPr>
          <w:i/>
          <w:iCs/>
        </w:rPr>
        <w:t xml:space="preserve"> </w:t>
      </w:r>
      <w:r w:rsidRPr="005446D6">
        <w:rPr>
          <w:i/>
          <w:iCs/>
        </w:rPr>
        <w:t xml:space="preserve">servizio idrico integrato, …, sono sottratti all'ambito di applicazione del principio di gratuità di cui all'art. 153 del d.lgs. n. 152 del 2006, dovendosi distinguere la concessione del pubblico servizio idrico integrato - nel cui ambito la legge dispone la gratuità dell'uso di beni (quali acquedotti, fognature, impianti di depurazione ed altri) indicati dall'art.143 del d.lgs. n. 152 del 2006 come necessari alla gestione del servizio - e la concessione d'uso delle superfici demaniali mediante occupazione o attraversamento delle stesse con i manufatti indicati dall'art. 8 del regolamento impugnato; tali manufatti, anche ove costituiscano le infrastrutture di cui all'art. 143 cit., si distinguono dalle superfici demaniali sulle quali insistono o che attraversano, per cui la gratuità dell'uso non può estendersi, in via di interpretazione del disposto degli artt. 153 e 143 del d.lgs. cit., all'uso di altri beni del </w:t>
      </w:r>
      <w:r w:rsidRPr="005446D6">
        <w:rPr>
          <w:i/>
          <w:iCs/>
        </w:rPr>
        <w:lastRenderedPageBreak/>
        <w:t>demanio</w:t>
      </w:r>
      <w:r w:rsidRPr="005446D6">
        <w:rPr>
          <w:i/>
          <w:iCs/>
        </w:rPr>
        <w:t xml:space="preserve"> </w:t>
      </w:r>
      <w:r w:rsidRPr="005446D6">
        <w:rPr>
          <w:i/>
          <w:iCs/>
        </w:rPr>
        <w:t>idrico, tenendo anche presente che il principio generale a loro sotteso non è quello della gratuità bensì della onerosità dell'utilizzo del demanio idrico. …”</w:t>
      </w:r>
    </w:p>
    <w:p w14:paraId="16774166" w14:textId="5B4A1A1B" w:rsidR="00D206A1" w:rsidRDefault="005446D6" w:rsidP="00B9023D">
      <w:pPr>
        <w:jc w:val="both"/>
      </w:pPr>
      <w:r>
        <w:t>Di conseguenza, a</w:t>
      </w:r>
      <w:r w:rsidR="00857794">
        <w:t>nche la d</w:t>
      </w:r>
      <w:r w:rsidR="00D206A1">
        <w:t xml:space="preserve">oglianza </w:t>
      </w:r>
      <w:r w:rsidR="00857794">
        <w:t>sulla devoluzione gratuita</w:t>
      </w:r>
      <w:r w:rsidR="00D206A1">
        <w:t xml:space="preserve"> si dimostra non pertinente</w:t>
      </w:r>
      <w:r>
        <w:t>,</w:t>
      </w:r>
      <w:r w:rsidR="00D206A1">
        <w:t xml:space="preserve"> </w:t>
      </w:r>
      <w:r>
        <w:t xml:space="preserve">innanzi tutto </w:t>
      </w:r>
      <w:r w:rsidR="00D206A1">
        <w:t xml:space="preserve">perché eventualmente l’ipotesi di esenzione invocata riguarderebbe l’occupazione permanente </w:t>
      </w:r>
      <w:r w:rsidR="00E6677E">
        <w:t>realizzata con</w:t>
      </w:r>
      <w:r w:rsidR="00D206A1">
        <w:t xml:space="preserve"> l’infrastruttura del pubblico servizio e non </w:t>
      </w:r>
      <w:r w:rsidR="00E6677E">
        <w:t>certo il</w:t>
      </w:r>
      <w:r w:rsidR="00D206A1">
        <w:t xml:space="preserve"> cantiere stradale </w:t>
      </w:r>
      <w:r w:rsidR="00E6677E">
        <w:t>temporaneo realizzato</w:t>
      </w:r>
      <w:r w:rsidR="00D206A1">
        <w:t xml:space="preserve"> per la posa o manutenzione delle condutture, e in ogni caso </w:t>
      </w:r>
      <w:r w:rsidR="00857794">
        <w:t>risult</w:t>
      </w:r>
      <w:r>
        <w:t>erebbe</w:t>
      </w:r>
      <w:r w:rsidR="00857794">
        <w:t xml:space="preserve"> inapplicabile</w:t>
      </w:r>
      <w:r w:rsidR="00D206A1">
        <w:t xml:space="preserve"> in quanto nel settore idrico non può </w:t>
      </w:r>
      <w:r>
        <w:t xml:space="preserve">mai </w:t>
      </w:r>
      <w:r w:rsidR="00D206A1">
        <w:t>realizzarsi l’ipotesi di devoluzione gratuita. Nella sentenza si spiega infatti che:</w:t>
      </w:r>
    </w:p>
    <w:p w14:paraId="50EDBE56" w14:textId="5C5C5929" w:rsidR="00D206A1" w:rsidRPr="00D206A1" w:rsidRDefault="00D206A1" w:rsidP="00D206A1">
      <w:pPr>
        <w:jc w:val="both"/>
        <w:rPr>
          <w:i/>
          <w:iCs/>
        </w:rPr>
      </w:pPr>
      <w:r w:rsidRPr="00D206A1">
        <w:rPr>
          <w:i/>
          <w:iCs/>
        </w:rPr>
        <w:t>“</w:t>
      </w:r>
      <w:r w:rsidRPr="00D206A1">
        <w:rPr>
          <w:i/>
          <w:iCs/>
        </w:rPr>
        <w:t>Dalle superiori richiamate pattuizioni convenzionali si evince che al termine della concessione è prevista la corresponsione di un corrispettivo e/o indennità per la restituzione delle opere non completamente ammortizzate al termine della concessione se non interamente realizzate con contributi dei terzi, nonché per la restituzione delle opere che non abbiano superato la fase di collaudo e per la restituzione delle opere eseguite, successivamente all’affidamento, dal Gestore con fondi propri derivanti da proventi extra tariffari. Da ciò discende la non devoluzione gratuita da parte di XXX al Comune</w:t>
      </w:r>
      <w:r w:rsidRPr="00D206A1">
        <w:rPr>
          <w:i/>
          <w:iCs/>
        </w:rPr>
        <w:t>…”</w:t>
      </w:r>
    </w:p>
    <w:p w14:paraId="5C1CA36A" w14:textId="454D9B65" w:rsidR="00D206A1" w:rsidRDefault="00857794" w:rsidP="00D206A1">
      <w:pPr>
        <w:jc w:val="both"/>
      </w:pPr>
      <w:r>
        <w:t>Viene comunque evidenziato come l’invocata esenzione, che non spetterebbe in ogni caso, non può neppure essere valutata al caso in parola trattandosi di una richiesta di pagamento per occupazione temporanea. Si legge in sentenza</w:t>
      </w:r>
      <w:r w:rsidR="00D206A1">
        <w:t>:</w:t>
      </w:r>
    </w:p>
    <w:p w14:paraId="4B45ABEE" w14:textId="67572CE6" w:rsidR="00D206A1" w:rsidRPr="00D206A1" w:rsidRDefault="00D206A1" w:rsidP="00D206A1">
      <w:pPr>
        <w:jc w:val="both"/>
        <w:rPr>
          <w:i/>
          <w:iCs/>
        </w:rPr>
      </w:pPr>
      <w:r w:rsidRPr="00D206A1">
        <w:rPr>
          <w:i/>
          <w:iCs/>
        </w:rPr>
        <w:t>“</w:t>
      </w:r>
      <w:r w:rsidRPr="00D206A1">
        <w:rPr>
          <w:i/>
          <w:iCs/>
        </w:rPr>
        <w:t xml:space="preserve">Inoltre è da evidenziarsi che l’esenzione motivata da parte opponente non può operare nel caso specifico stante che l’avviso di accertamento impugnato è </w:t>
      </w:r>
      <w:r w:rsidR="00857794" w:rsidRPr="00D206A1">
        <w:rPr>
          <w:i/>
          <w:iCs/>
        </w:rPr>
        <w:t>relativo</w:t>
      </w:r>
      <w:r w:rsidRPr="00D206A1">
        <w:rPr>
          <w:i/>
          <w:iCs/>
        </w:rPr>
        <w:t xml:space="preserve"> ad una occupazione temporanea eseguita a mezzo deposito di materiali e non di occupazione permanente “… con impianti adibiti ai servizi pubblici …”, come espressamente richiesto dalla detta esenzione.</w:t>
      </w:r>
    </w:p>
    <w:p w14:paraId="504BF419" w14:textId="02A6696A" w:rsidR="009D0BED" w:rsidRPr="00853ABD" w:rsidRDefault="005446D6" w:rsidP="00B9023D">
      <w:pPr>
        <w:jc w:val="both"/>
      </w:pPr>
      <w:r>
        <w:t xml:space="preserve">In definitiva possiamo confermare ancora una volta come le occupazioni stradali realizzate con </w:t>
      </w:r>
      <w:r w:rsidR="009E1A3A">
        <w:t>cantieri per la posa e manutenzioni delle reti dei servizi pubblici sono sempre soggette al pagamento del CUP con applicazione della tariffa temporanea, regola a cui non sfuggono i lavori eseguiti dalle società che gestiscono le condutture idriche.</w:t>
      </w:r>
    </w:p>
    <w:p w14:paraId="38C266FD" w14:textId="77777777" w:rsidR="00B9023D" w:rsidRDefault="00B9023D" w:rsidP="00B9023D">
      <w:pPr>
        <w:jc w:val="both"/>
      </w:pPr>
    </w:p>
    <w:sectPr w:rsidR="00B9023D">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altName w:val="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0380"/>
    <w:rsid w:val="00037287"/>
    <w:rsid w:val="0033312F"/>
    <w:rsid w:val="00366798"/>
    <w:rsid w:val="003872DE"/>
    <w:rsid w:val="004F105E"/>
    <w:rsid w:val="005446D6"/>
    <w:rsid w:val="00660380"/>
    <w:rsid w:val="006672EA"/>
    <w:rsid w:val="00853ABD"/>
    <w:rsid w:val="00857794"/>
    <w:rsid w:val="009D0BED"/>
    <w:rsid w:val="009E1A3A"/>
    <w:rsid w:val="00A55ED9"/>
    <w:rsid w:val="00B817D4"/>
    <w:rsid w:val="00B9023D"/>
    <w:rsid w:val="00BC5B15"/>
    <w:rsid w:val="00D206A1"/>
    <w:rsid w:val="00D928B5"/>
    <w:rsid w:val="00E6677E"/>
    <w:rsid w:val="00F37245"/>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48E30A"/>
  <w15:chartTrackingRefBased/>
  <w15:docId w15:val="{B5A400B1-DBDB-443A-B032-F3F0D57EC7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it-I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66038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olo2">
    <w:name w:val="heading 2"/>
    <w:basedOn w:val="Normale"/>
    <w:next w:val="Normale"/>
    <w:link w:val="Titolo2Carattere"/>
    <w:uiPriority w:val="9"/>
    <w:semiHidden/>
    <w:unhideWhenUsed/>
    <w:qFormat/>
    <w:rsid w:val="0066038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olo3">
    <w:name w:val="heading 3"/>
    <w:basedOn w:val="Normale"/>
    <w:next w:val="Normale"/>
    <w:link w:val="Titolo3Carattere"/>
    <w:uiPriority w:val="9"/>
    <w:semiHidden/>
    <w:unhideWhenUsed/>
    <w:qFormat/>
    <w:rsid w:val="00660380"/>
    <w:pPr>
      <w:keepNext/>
      <w:keepLines/>
      <w:spacing w:before="160" w:after="80"/>
      <w:outlineLvl w:val="2"/>
    </w:pPr>
    <w:rPr>
      <w:rFonts w:eastAsiaTheme="majorEastAsia" w:cstheme="majorBidi"/>
      <w:color w:val="2F5496" w:themeColor="accent1" w:themeShade="BF"/>
      <w:sz w:val="28"/>
      <w:szCs w:val="28"/>
    </w:rPr>
  </w:style>
  <w:style w:type="paragraph" w:styleId="Titolo4">
    <w:name w:val="heading 4"/>
    <w:basedOn w:val="Normale"/>
    <w:next w:val="Normale"/>
    <w:link w:val="Titolo4Carattere"/>
    <w:uiPriority w:val="9"/>
    <w:semiHidden/>
    <w:unhideWhenUsed/>
    <w:qFormat/>
    <w:rsid w:val="00660380"/>
    <w:pPr>
      <w:keepNext/>
      <w:keepLines/>
      <w:spacing w:before="80" w:after="40"/>
      <w:outlineLvl w:val="3"/>
    </w:pPr>
    <w:rPr>
      <w:rFonts w:eastAsiaTheme="majorEastAsia" w:cstheme="majorBidi"/>
      <w:i/>
      <w:iCs/>
      <w:color w:val="2F5496" w:themeColor="accent1" w:themeShade="BF"/>
    </w:rPr>
  </w:style>
  <w:style w:type="paragraph" w:styleId="Titolo5">
    <w:name w:val="heading 5"/>
    <w:basedOn w:val="Normale"/>
    <w:next w:val="Normale"/>
    <w:link w:val="Titolo5Carattere"/>
    <w:uiPriority w:val="9"/>
    <w:semiHidden/>
    <w:unhideWhenUsed/>
    <w:qFormat/>
    <w:rsid w:val="00660380"/>
    <w:pPr>
      <w:keepNext/>
      <w:keepLines/>
      <w:spacing w:before="80" w:after="40"/>
      <w:outlineLvl w:val="4"/>
    </w:pPr>
    <w:rPr>
      <w:rFonts w:eastAsiaTheme="majorEastAsia" w:cstheme="majorBidi"/>
      <w:color w:val="2F5496" w:themeColor="accent1" w:themeShade="BF"/>
    </w:rPr>
  </w:style>
  <w:style w:type="paragraph" w:styleId="Titolo6">
    <w:name w:val="heading 6"/>
    <w:basedOn w:val="Normale"/>
    <w:next w:val="Normale"/>
    <w:link w:val="Titolo6Carattere"/>
    <w:uiPriority w:val="9"/>
    <w:semiHidden/>
    <w:unhideWhenUsed/>
    <w:qFormat/>
    <w:rsid w:val="00660380"/>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660380"/>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660380"/>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660380"/>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660380"/>
    <w:rPr>
      <w:rFonts w:asciiTheme="majorHAnsi" w:eastAsiaTheme="majorEastAsia" w:hAnsiTheme="majorHAnsi" w:cstheme="majorBidi"/>
      <w:color w:val="2F5496" w:themeColor="accent1" w:themeShade="BF"/>
      <w:sz w:val="40"/>
      <w:szCs w:val="40"/>
    </w:rPr>
  </w:style>
  <w:style w:type="character" w:customStyle="1" w:styleId="Titolo2Carattere">
    <w:name w:val="Titolo 2 Carattere"/>
    <w:basedOn w:val="Carpredefinitoparagrafo"/>
    <w:link w:val="Titolo2"/>
    <w:uiPriority w:val="9"/>
    <w:semiHidden/>
    <w:rsid w:val="00660380"/>
    <w:rPr>
      <w:rFonts w:asciiTheme="majorHAnsi" w:eastAsiaTheme="majorEastAsia" w:hAnsiTheme="majorHAnsi" w:cstheme="majorBidi"/>
      <w:color w:val="2F5496" w:themeColor="accent1" w:themeShade="BF"/>
      <w:sz w:val="32"/>
      <w:szCs w:val="32"/>
    </w:rPr>
  </w:style>
  <w:style w:type="character" w:customStyle="1" w:styleId="Titolo3Carattere">
    <w:name w:val="Titolo 3 Carattere"/>
    <w:basedOn w:val="Carpredefinitoparagrafo"/>
    <w:link w:val="Titolo3"/>
    <w:uiPriority w:val="9"/>
    <w:semiHidden/>
    <w:rsid w:val="00660380"/>
    <w:rPr>
      <w:rFonts w:eastAsiaTheme="majorEastAsia" w:cstheme="majorBidi"/>
      <w:color w:val="2F5496" w:themeColor="accent1" w:themeShade="BF"/>
      <w:sz w:val="28"/>
      <w:szCs w:val="28"/>
    </w:rPr>
  </w:style>
  <w:style w:type="character" w:customStyle="1" w:styleId="Titolo4Carattere">
    <w:name w:val="Titolo 4 Carattere"/>
    <w:basedOn w:val="Carpredefinitoparagrafo"/>
    <w:link w:val="Titolo4"/>
    <w:uiPriority w:val="9"/>
    <w:semiHidden/>
    <w:rsid w:val="00660380"/>
    <w:rPr>
      <w:rFonts w:eastAsiaTheme="majorEastAsia" w:cstheme="majorBidi"/>
      <w:i/>
      <w:iCs/>
      <w:color w:val="2F5496" w:themeColor="accent1" w:themeShade="BF"/>
    </w:rPr>
  </w:style>
  <w:style w:type="character" w:customStyle="1" w:styleId="Titolo5Carattere">
    <w:name w:val="Titolo 5 Carattere"/>
    <w:basedOn w:val="Carpredefinitoparagrafo"/>
    <w:link w:val="Titolo5"/>
    <w:uiPriority w:val="9"/>
    <w:semiHidden/>
    <w:rsid w:val="00660380"/>
    <w:rPr>
      <w:rFonts w:eastAsiaTheme="majorEastAsia" w:cstheme="majorBidi"/>
      <w:color w:val="2F5496" w:themeColor="accent1" w:themeShade="BF"/>
    </w:rPr>
  </w:style>
  <w:style w:type="character" w:customStyle="1" w:styleId="Titolo6Carattere">
    <w:name w:val="Titolo 6 Carattere"/>
    <w:basedOn w:val="Carpredefinitoparagrafo"/>
    <w:link w:val="Titolo6"/>
    <w:uiPriority w:val="9"/>
    <w:semiHidden/>
    <w:rsid w:val="00660380"/>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660380"/>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660380"/>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660380"/>
    <w:rPr>
      <w:rFonts w:eastAsiaTheme="majorEastAsia" w:cstheme="majorBidi"/>
      <w:color w:val="272727" w:themeColor="text1" w:themeTint="D8"/>
    </w:rPr>
  </w:style>
  <w:style w:type="paragraph" w:styleId="Titolo">
    <w:name w:val="Title"/>
    <w:basedOn w:val="Normale"/>
    <w:next w:val="Normale"/>
    <w:link w:val="TitoloCarattere"/>
    <w:uiPriority w:val="10"/>
    <w:qFormat/>
    <w:rsid w:val="0066038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660380"/>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660380"/>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660380"/>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660380"/>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660380"/>
    <w:rPr>
      <w:i/>
      <w:iCs/>
      <w:color w:val="404040" w:themeColor="text1" w:themeTint="BF"/>
    </w:rPr>
  </w:style>
  <w:style w:type="paragraph" w:styleId="Paragrafoelenco">
    <w:name w:val="List Paragraph"/>
    <w:basedOn w:val="Normale"/>
    <w:uiPriority w:val="34"/>
    <w:qFormat/>
    <w:rsid w:val="00660380"/>
    <w:pPr>
      <w:ind w:left="720"/>
      <w:contextualSpacing/>
    </w:pPr>
  </w:style>
  <w:style w:type="character" w:styleId="Enfasiintensa">
    <w:name w:val="Intense Emphasis"/>
    <w:basedOn w:val="Carpredefinitoparagrafo"/>
    <w:uiPriority w:val="21"/>
    <w:qFormat/>
    <w:rsid w:val="00660380"/>
    <w:rPr>
      <w:i/>
      <w:iCs/>
      <w:color w:val="2F5496" w:themeColor="accent1" w:themeShade="BF"/>
    </w:rPr>
  </w:style>
  <w:style w:type="paragraph" w:styleId="Citazioneintensa">
    <w:name w:val="Intense Quote"/>
    <w:basedOn w:val="Normale"/>
    <w:next w:val="Normale"/>
    <w:link w:val="CitazioneintensaCarattere"/>
    <w:uiPriority w:val="30"/>
    <w:qFormat/>
    <w:rsid w:val="0066038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zioneintensaCarattere">
    <w:name w:val="Citazione intensa Carattere"/>
    <w:basedOn w:val="Carpredefinitoparagrafo"/>
    <w:link w:val="Citazioneintensa"/>
    <w:uiPriority w:val="30"/>
    <w:rsid w:val="00660380"/>
    <w:rPr>
      <w:i/>
      <w:iCs/>
      <w:color w:val="2F5496" w:themeColor="accent1" w:themeShade="BF"/>
    </w:rPr>
  </w:style>
  <w:style w:type="character" w:styleId="Riferimentointenso">
    <w:name w:val="Intense Reference"/>
    <w:basedOn w:val="Carpredefinitoparagrafo"/>
    <w:uiPriority w:val="32"/>
    <w:qFormat/>
    <w:rsid w:val="0066038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125</TotalTime>
  <Pages>2</Pages>
  <Words>924</Words>
  <Characters>5267</Characters>
  <Application>Microsoft Office Word</Application>
  <DocSecurity>0</DocSecurity>
  <Lines>43</Lines>
  <Paragraphs>12</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6179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Merciari</dc:creator>
  <cp:keywords/>
  <dc:description/>
  <cp:lastModifiedBy>Merciari</cp:lastModifiedBy>
  <cp:revision>9</cp:revision>
  <dcterms:created xsi:type="dcterms:W3CDTF">2025-11-14T20:06:00Z</dcterms:created>
  <dcterms:modified xsi:type="dcterms:W3CDTF">2025-11-15T09:33:00Z</dcterms:modified>
</cp:coreProperties>
</file>