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6D7D8C" w14:textId="11021486" w:rsidR="00F72468" w:rsidRPr="00F72468" w:rsidRDefault="00F72468" w:rsidP="000E1734">
      <w:r w:rsidRPr="00F72468">
        <w:t>Titolo: Le novità contenute nella Legge Finanziaria 2025 in materia di CUP</w:t>
      </w:r>
    </w:p>
    <w:p w14:paraId="23A3C59C" w14:textId="3AB12B84" w:rsidR="00F72468" w:rsidRPr="00F72468" w:rsidRDefault="00F72468" w:rsidP="000E1734">
      <w:r w:rsidRPr="00F72468">
        <w:t>Di Alessandro Merciari</w:t>
      </w:r>
    </w:p>
    <w:p w14:paraId="6F27243B" w14:textId="458A757F" w:rsidR="00C274FD" w:rsidRPr="00C81843" w:rsidRDefault="00FC2F1D" w:rsidP="00FC2F1D">
      <w:pPr>
        <w:jc w:val="both"/>
      </w:pPr>
      <w:r w:rsidRPr="00FC2F1D">
        <w:t xml:space="preserve">La Legge Finanziaria </w:t>
      </w:r>
      <w:r w:rsidR="00D65DEB">
        <w:t xml:space="preserve">2025 </w:t>
      </w:r>
      <w:r w:rsidRPr="00FC2F1D">
        <w:t>ci regala alcune novità</w:t>
      </w:r>
      <w:r w:rsidR="00C274FD">
        <w:t xml:space="preserve"> </w:t>
      </w:r>
      <w:r w:rsidRPr="00FC2F1D">
        <w:t>in ma</w:t>
      </w:r>
      <w:r>
        <w:t>t</w:t>
      </w:r>
      <w:r w:rsidRPr="00FC2F1D">
        <w:t xml:space="preserve">eria di Canone Unico. Purtroppo </w:t>
      </w:r>
      <w:r w:rsidR="00B976BC">
        <w:t xml:space="preserve">nessuna di </w:t>
      </w:r>
      <w:r w:rsidRPr="00FC2F1D">
        <w:t>quelle che auspicavam</w:t>
      </w:r>
      <w:r w:rsidR="00C274FD">
        <w:t>o.</w:t>
      </w:r>
      <w:r w:rsidR="00C81843">
        <w:t xml:space="preserve"> Si tratta di modifiche</w:t>
      </w:r>
      <w:r w:rsidR="009B4984">
        <w:t>, per lo più poco determinanti,</w:t>
      </w:r>
      <w:r w:rsidR="00C81843">
        <w:t xml:space="preserve"> che interessano i commi 817,</w:t>
      </w:r>
      <w:r w:rsidR="009B4984">
        <w:t xml:space="preserve"> </w:t>
      </w:r>
      <w:r w:rsidR="00C81843">
        <w:t>821 e 825 della legge 160/2019 che</w:t>
      </w:r>
      <w:r w:rsidR="009D3115">
        <w:t xml:space="preserve"> aveva introdotto a partire dal 2021</w:t>
      </w:r>
      <w:r w:rsidR="00C81843">
        <w:t xml:space="preserve"> la nuova entrata </w:t>
      </w:r>
      <w:r w:rsidR="009B4984">
        <w:t>dedicata</w:t>
      </w:r>
      <w:r w:rsidR="00C81843">
        <w:t xml:space="preserve"> </w:t>
      </w:r>
      <w:r w:rsidR="009B4984">
        <w:t>al</w:t>
      </w:r>
      <w:r w:rsidR="00C81843">
        <w:t xml:space="preserve">le occupazioni di suolo pubblico e </w:t>
      </w:r>
      <w:r w:rsidR="009B4984">
        <w:t>al</w:t>
      </w:r>
      <w:r w:rsidR="00C81843">
        <w:t>le diffusioni pubblicitarie.</w:t>
      </w:r>
    </w:p>
    <w:p w14:paraId="09351505" w14:textId="1E22A5E4" w:rsidR="009B4984" w:rsidRDefault="009D3115" w:rsidP="00C81843">
      <w:pPr>
        <w:jc w:val="both"/>
      </w:pPr>
      <w:r>
        <w:t>Analizziamo</w:t>
      </w:r>
      <w:r w:rsidR="00C274FD" w:rsidRPr="00C81843">
        <w:t xml:space="preserve"> </w:t>
      </w:r>
      <w:r w:rsidR="00C81843" w:rsidRPr="00C81843">
        <w:t>le modifiche</w:t>
      </w:r>
      <w:r w:rsidR="009B4984">
        <w:t>,</w:t>
      </w:r>
      <w:r w:rsidR="00C81843" w:rsidRPr="00C81843">
        <w:t xml:space="preserve"> </w:t>
      </w:r>
      <w:r w:rsidR="00522767">
        <w:t xml:space="preserve">tutte </w:t>
      </w:r>
      <w:r w:rsidR="00C81843" w:rsidRPr="00C81843">
        <w:t xml:space="preserve">contenute nel comma 757 della Legg </w:t>
      </w:r>
      <w:r w:rsidR="000E1734" w:rsidRPr="00C81843">
        <w:t>30 dicembre 2024, n. 207</w:t>
      </w:r>
      <w:r w:rsidR="009B4984">
        <w:t xml:space="preserve">, precisando che la Legge Finanziaria si </w:t>
      </w:r>
      <w:r>
        <w:t xml:space="preserve">è </w:t>
      </w:r>
      <w:r w:rsidR="009B4984">
        <w:t>occupa</w:t>
      </w:r>
      <w:r>
        <w:t>ta</w:t>
      </w:r>
      <w:r w:rsidR="009B4984">
        <w:t xml:space="preserve"> di CUP anche nel comma 666 con il quale è stata disposta la proroga delle agevolazioni già previste per </w:t>
      </w:r>
      <w:r w:rsidR="00A9579F" w:rsidRPr="00A9579F">
        <w:t>le attività con sede legale od operativa nei territori delle regioni Abruzzo, Lazio, Marche e Umbria, interessati dagli eventi sismici</w:t>
      </w:r>
      <w:r w:rsidR="009B4984">
        <w:t>.</w:t>
      </w:r>
      <w:r w:rsidR="001D4F7C">
        <w:t xml:space="preserve"> Tema che sarà oggetto di diverso approfondimento.</w:t>
      </w:r>
    </w:p>
    <w:p w14:paraId="61862853" w14:textId="0D38B4AE" w:rsidR="000E1734" w:rsidRPr="009B4984" w:rsidRDefault="009B4984" w:rsidP="00C81843">
      <w:pPr>
        <w:jc w:val="both"/>
        <w:rPr>
          <w:i/>
          <w:iCs/>
        </w:rPr>
      </w:pPr>
      <w:r>
        <w:t>Il comma 757 prevede</w:t>
      </w:r>
      <w:r w:rsidR="00C274FD">
        <w:rPr>
          <w:b/>
          <w:bCs/>
        </w:rPr>
        <w:t>:</w:t>
      </w:r>
      <w:r w:rsidR="00C81843">
        <w:rPr>
          <w:b/>
          <w:bCs/>
        </w:rPr>
        <w:t xml:space="preserve"> </w:t>
      </w:r>
      <w:r w:rsidR="00C274FD" w:rsidRPr="009B4984">
        <w:rPr>
          <w:i/>
          <w:iCs/>
        </w:rPr>
        <w:t>“</w:t>
      </w:r>
      <w:r w:rsidR="000E1734" w:rsidRPr="009B4984">
        <w:rPr>
          <w:i/>
          <w:iCs/>
        </w:rPr>
        <w:t>All'articolo 1 della legge 27 dicembre 2019, n. 160, sono apportate le seguenti modificazioni:</w:t>
      </w:r>
    </w:p>
    <w:p w14:paraId="72C5D955" w14:textId="77777777" w:rsidR="000E1734" w:rsidRPr="009B4984" w:rsidRDefault="000E1734" w:rsidP="000E1734">
      <w:pPr>
        <w:jc w:val="both"/>
        <w:rPr>
          <w:i/>
          <w:iCs/>
        </w:rPr>
      </w:pPr>
      <w:r w:rsidRPr="009B4984">
        <w:rPr>
          <w:i/>
          <w:iCs/>
        </w:rPr>
        <w:t xml:space="preserve">a) al comma 817 sono aggiunte, in fine, le seguenti parole: «attuata secondo criteri di ragionevolezza e di gradualità </w:t>
      </w:r>
      <w:bookmarkStart w:id="0" w:name="_Hlk187674962"/>
      <w:r w:rsidRPr="009B4984">
        <w:rPr>
          <w:i/>
          <w:iCs/>
        </w:rPr>
        <w:t>in ragione dell'impatto ambientale e urbanistico delle occupazioni e delle esposizioni pubblicitarie oggetto del canone e della loro incidenza su elementi di arredo urbano o sui mezzi dei servizi di trasporto pubblico locale o dei servizi di mobilità sostenibile</w:t>
      </w:r>
      <w:bookmarkEnd w:id="0"/>
      <w:r w:rsidRPr="009B4984">
        <w:rPr>
          <w:i/>
          <w:iCs/>
        </w:rPr>
        <w:t>»;</w:t>
      </w:r>
    </w:p>
    <w:p w14:paraId="74EED607" w14:textId="77777777" w:rsidR="00C81843" w:rsidRPr="009B4984" w:rsidRDefault="000E1734" w:rsidP="000E1734">
      <w:pPr>
        <w:jc w:val="both"/>
        <w:rPr>
          <w:i/>
          <w:iCs/>
        </w:rPr>
      </w:pPr>
      <w:r w:rsidRPr="009B4984">
        <w:rPr>
          <w:i/>
          <w:iCs/>
        </w:rPr>
        <w:t>b) al comma 821:</w:t>
      </w:r>
      <w:r w:rsidR="00D65DEB" w:rsidRPr="009B4984">
        <w:rPr>
          <w:i/>
          <w:iCs/>
        </w:rPr>
        <w:t xml:space="preserve"> </w:t>
      </w:r>
      <w:r w:rsidRPr="009B4984">
        <w:rPr>
          <w:i/>
          <w:iCs/>
        </w:rPr>
        <w:t>1) la lettera d) è sostituita dalla seguente:</w:t>
      </w:r>
      <w:r w:rsidR="00D65DEB" w:rsidRPr="009B4984">
        <w:rPr>
          <w:i/>
          <w:iCs/>
        </w:rPr>
        <w:t xml:space="preserve"> </w:t>
      </w:r>
      <w:r w:rsidRPr="009B4984">
        <w:rPr>
          <w:i/>
          <w:iCs/>
        </w:rPr>
        <w:t>«d) la superficie degli impianti destinati dal comune al servizio delle pubbliche affissioni, ove il comune continui a svolgere tale servizio»;</w:t>
      </w:r>
      <w:r w:rsidR="00D65DEB" w:rsidRPr="009B4984">
        <w:rPr>
          <w:i/>
          <w:iCs/>
        </w:rPr>
        <w:t xml:space="preserve"> </w:t>
      </w:r>
      <w:r w:rsidRPr="009B4984">
        <w:rPr>
          <w:i/>
          <w:iCs/>
        </w:rPr>
        <w:t>2) alla lettera f) è aggiunto, in fine, il seguente periodo: «Per gli impianti ubicati su suolo privato o comunque in aree private, il canone può essere ridotto fino alla metà»;</w:t>
      </w:r>
      <w:r w:rsidR="00D65DEB" w:rsidRPr="009B4984">
        <w:rPr>
          <w:i/>
          <w:iCs/>
        </w:rPr>
        <w:t xml:space="preserve"> </w:t>
      </w:r>
    </w:p>
    <w:p w14:paraId="76BE4B46" w14:textId="321FC043" w:rsidR="00060149" w:rsidRPr="009B4984" w:rsidRDefault="000E1734" w:rsidP="000E1734">
      <w:pPr>
        <w:jc w:val="both"/>
        <w:rPr>
          <w:i/>
          <w:iCs/>
        </w:rPr>
      </w:pPr>
      <w:r w:rsidRPr="009B4984">
        <w:rPr>
          <w:i/>
          <w:iCs/>
        </w:rPr>
        <w:t>c) al comma 825:</w:t>
      </w:r>
      <w:r w:rsidR="00D65DEB" w:rsidRPr="009B4984">
        <w:rPr>
          <w:i/>
          <w:iCs/>
        </w:rPr>
        <w:t xml:space="preserve"> </w:t>
      </w:r>
      <w:r w:rsidRPr="009B4984">
        <w:rPr>
          <w:i/>
          <w:iCs/>
        </w:rPr>
        <w:t>1) al primo periodo, dopo le parole: «del mezzo pubblicitario,» sono inserite le seguenti: «esclusa quella relativa agli elementi privi di carattere pubblicitario,»;</w:t>
      </w:r>
      <w:r w:rsidR="00D65DEB" w:rsidRPr="009B4984">
        <w:rPr>
          <w:i/>
          <w:iCs/>
        </w:rPr>
        <w:t xml:space="preserve"> </w:t>
      </w:r>
      <w:r w:rsidRPr="009B4984">
        <w:rPr>
          <w:i/>
          <w:iCs/>
        </w:rPr>
        <w:t>2) sono aggiunti, in fine, i seguenti periodi: «In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w:t>
      </w:r>
      <w:r w:rsidR="00D65DEB" w:rsidRPr="009B4984">
        <w:rPr>
          <w:i/>
          <w:iCs/>
        </w:rPr>
        <w:t xml:space="preserve"> </w:t>
      </w:r>
      <w:r w:rsidRPr="009B4984">
        <w:rPr>
          <w:i/>
          <w:iCs/>
        </w:rPr>
        <w:t>Nell'ipotesi in cui i titolari del provvedimento di concessione o di autorizzazione all'installazione dell'impianto siano diversi, il canone è liquidato distintamente, in proporzione alla superficie del segnale o del gruppo segnaletico posto nella disponibilità di ciascuno di essi».</w:t>
      </w:r>
      <w:r w:rsidR="00C81843" w:rsidRPr="009B4984">
        <w:rPr>
          <w:i/>
          <w:iCs/>
        </w:rPr>
        <w:t>”</w:t>
      </w:r>
    </w:p>
    <w:p w14:paraId="36F5EE9C" w14:textId="15D268FF" w:rsidR="006907AD" w:rsidRDefault="009B4984" w:rsidP="000E1734">
      <w:pPr>
        <w:jc w:val="both"/>
      </w:pPr>
      <w:r>
        <w:t xml:space="preserve">Come detto sono tre i commi della disciplina CUP interessati dalle modifiche. Il primo, il comma 817, con la suddetta modifica il </w:t>
      </w:r>
      <w:r w:rsidR="001D4F7C">
        <w:t xml:space="preserve">nuovo </w:t>
      </w:r>
      <w:r>
        <w:t>testo diventa:</w:t>
      </w:r>
    </w:p>
    <w:p w14:paraId="51C1B8EA" w14:textId="6BA50D3C" w:rsidR="009B4984" w:rsidRDefault="009B4984" w:rsidP="009B4984">
      <w:pPr>
        <w:jc w:val="both"/>
        <w:rPr>
          <w:i/>
          <w:iCs/>
        </w:rPr>
      </w:pPr>
      <w:r w:rsidRPr="009B4984">
        <w:rPr>
          <w:i/>
          <w:iCs/>
        </w:rPr>
        <w:t>“817. Il canone è disciplinato dagli enti in modo da assicurare un gettito pari a quello conseguito dai canoni e dai tributi che sono sostituiti dal canone, fatta salva, in ogni caso, la possibilità di variare il gettito attraverso la modifica delle tariffe attuata secondo criteri di ragionevolezza e di gradualità in ragione dell'impatto ambientale e urbanistico delle occupazioni e delle esposizioni pubblicitarie oggetto del canone e della loro incidenza su elementi di arredo urbano o sui mezzi dei servizi di trasporto pubblico locale o dei servizi di mobilità sostenibile”</w:t>
      </w:r>
    </w:p>
    <w:p w14:paraId="47A6700E" w14:textId="06883632" w:rsidR="009B4984" w:rsidRDefault="009B4984" w:rsidP="009B4984">
      <w:pPr>
        <w:jc w:val="both"/>
      </w:pPr>
      <w:r>
        <w:t xml:space="preserve">La modifica </w:t>
      </w:r>
      <w:r w:rsidR="001D4F7C">
        <w:t xml:space="preserve">di legge </w:t>
      </w:r>
      <w:r>
        <w:t xml:space="preserve">si pone in linea con </w:t>
      </w:r>
      <w:r w:rsidR="00B1607E">
        <w:t>l’orientamento</w:t>
      </w:r>
      <w:r>
        <w:t xml:space="preserve"> che </w:t>
      </w:r>
      <w:r w:rsidR="00B1607E">
        <w:t>avevamo</w:t>
      </w:r>
      <w:r>
        <w:t xml:space="preserve"> già assunto nei mesi scorsi, ovvero sulla concreta possibilità per gli Enti locali di modificare il gettito complessivo del CUP andando ad incrementare le tariffe fissate in prima istanza nel 2021</w:t>
      </w:r>
      <w:r w:rsidR="001D4F7C">
        <w:t>,</w:t>
      </w:r>
      <w:r w:rsidR="0008419D">
        <w:t xml:space="preserve"> calcolate </w:t>
      </w:r>
      <w:r>
        <w:t xml:space="preserve">sulla base deli precedenti prelievi andando a </w:t>
      </w:r>
      <w:r w:rsidR="00B1607E">
        <w:t>garantire quella parità di gettito inizialmente richiesta dal Legislatore.</w:t>
      </w:r>
    </w:p>
    <w:p w14:paraId="713950EB" w14:textId="61928B9B" w:rsidR="00B1607E" w:rsidRDefault="00B1607E" w:rsidP="009B4984">
      <w:pPr>
        <w:jc w:val="both"/>
      </w:pPr>
      <w:r>
        <w:t>Oggi, grazie a questa specifica disposizione</w:t>
      </w:r>
      <w:r w:rsidR="0008419D">
        <w:t xml:space="preserve">, </w:t>
      </w:r>
      <w:r>
        <w:t xml:space="preserve">si conferma, </w:t>
      </w:r>
      <w:r w:rsidR="0008419D">
        <w:t xml:space="preserve">anche se </w:t>
      </w:r>
      <w:r>
        <w:t>con una formulazione non del tutto netta e chiara, la possibilità per gli enti</w:t>
      </w:r>
      <w:r w:rsidR="0008419D" w:rsidRPr="0008419D">
        <w:t xml:space="preserve"> </w:t>
      </w:r>
      <w:r w:rsidR="0008419D">
        <w:t>di variare il gettito dell’entrata</w:t>
      </w:r>
      <w:r>
        <w:t xml:space="preserve">, in ragione di diversi elementi territoriali e </w:t>
      </w:r>
      <w:r w:rsidR="0008419D">
        <w:lastRenderedPageBreak/>
        <w:t>seguendo</w:t>
      </w:r>
      <w:r>
        <w:t xml:space="preserve"> </w:t>
      </w:r>
      <w:r w:rsidR="0008419D">
        <w:t>que</w:t>
      </w:r>
      <w:r>
        <w:t>i principi generali che devono guidare le pubbliche amministrazioni nel disciplinare le proprie entrate</w:t>
      </w:r>
      <w:r w:rsidR="00C16AB6">
        <w:t>.</w:t>
      </w:r>
    </w:p>
    <w:p w14:paraId="4C68D056" w14:textId="4A2F143B" w:rsidR="00C16AB6" w:rsidRDefault="00C16AB6" w:rsidP="00C16AB6">
      <w:pPr>
        <w:jc w:val="both"/>
      </w:pPr>
      <w:r>
        <w:t xml:space="preserve">In questo senso la norma contenuta </w:t>
      </w:r>
      <w:r w:rsidR="0008419D">
        <w:t xml:space="preserve">alla lettera A </w:t>
      </w:r>
      <w:r>
        <w:t>del comma 757 della Legge Finanziaria 2025</w:t>
      </w:r>
      <w:r w:rsidR="001D4F7C">
        <w:t>,</w:t>
      </w:r>
      <w:r>
        <w:t xml:space="preserve"> accoglie la tesi, da noi sempre sostenuta, che vuole il vincolo della parità di gettito come strumento necessario in fase di prima applicazione per non compromettere gli equilibri di bilancio già all’atto di istituzione del canone unico e per mantenere il precedente livello di pressione impositiva derivante dai canoni e dai tributi sostituiti.</w:t>
      </w:r>
      <w:r w:rsidR="0008419D">
        <w:t xml:space="preserve"> </w:t>
      </w:r>
      <w:r>
        <w:t xml:space="preserve">Dopodiché </w:t>
      </w:r>
      <w:r w:rsidR="001D4F7C">
        <w:t>diventa</w:t>
      </w:r>
      <w:r>
        <w:t xml:space="preserve"> compito delle singole amministrazioni locali garantire il rispetto dei principi generali che devono caratterizzare la gestione della nuova entrata e, conseguentemente, ipotizzare anche degli eventuali aumenti tariffari, purché motivati</w:t>
      </w:r>
      <w:r w:rsidR="0008419D">
        <w:t xml:space="preserve"> </w:t>
      </w:r>
      <w:r w:rsidR="0008419D" w:rsidRPr="0008419D">
        <w:rPr>
          <w:i/>
          <w:iCs/>
        </w:rPr>
        <w:t>in ragione dell'impatto ambientale e urbanistico delle occupazioni e delle esposizioni pubblicitarie oggetto del canone e della loro incidenza su elementi di arredo urbano o sui mezzi dei servizi di trasporto pubblico locale o dei servizi di mobilità sostenibile</w:t>
      </w:r>
      <w:r>
        <w:t xml:space="preserve">.  </w:t>
      </w:r>
    </w:p>
    <w:p w14:paraId="6C0D55B2" w14:textId="415A280B" w:rsidR="00C16AB6" w:rsidRPr="00371595" w:rsidRDefault="00C16AB6" w:rsidP="00C16AB6">
      <w:pPr>
        <w:jc w:val="both"/>
      </w:pPr>
      <w:r>
        <w:t xml:space="preserve">Oggi, una volta per tutte, possiamo </w:t>
      </w:r>
      <w:r w:rsidR="0008419D">
        <w:t xml:space="preserve">quindi </w:t>
      </w:r>
      <w:r>
        <w:t xml:space="preserve">affermare che l’autonomia degli enti locali è stata condizionata solo </w:t>
      </w:r>
      <w:r w:rsidRPr="00ED4DDE">
        <w:t>in sede di prima applicazione nel rispetto del vincolo tendenziale della parità di gettito</w:t>
      </w:r>
      <w:r>
        <w:t xml:space="preserve">, mentre per le annualità successive ha dovuto e dovrà </w:t>
      </w:r>
      <w:r w:rsidR="001D4F7C">
        <w:t xml:space="preserve">per il futuro </w:t>
      </w:r>
      <w:r>
        <w:t xml:space="preserve">essere rivolta </w:t>
      </w:r>
      <w:r w:rsidR="0008419D">
        <w:t xml:space="preserve">innanzi tutto </w:t>
      </w:r>
      <w:r>
        <w:t xml:space="preserve">al rispetto dei propri equilibri di bilancio, senza sottostare a quel vincolo </w:t>
      </w:r>
      <w:r w:rsidR="0008419D">
        <w:t>disposto nella versione originale del comma 817</w:t>
      </w:r>
      <w:r>
        <w:t>.</w:t>
      </w:r>
    </w:p>
    <w:p w14:paraId="0DC042EA" w14:textId="6C040001" w:rsidR="00C16AB6" w:rsidRDefault="009A64BE" w:rsidP="00C16AB6">
      <w:pPr>
        <w:jc w:val="both"/>
      </w:pPr>
      <w:r>
        <w:t>Veniamo al secondo comma</w:t>
      </w:r>
      <w:r w:rsidR="0008419D">
        <w:t xml:space="preserve"> della Legge 160/2019</w:t>
      </w:r>
      <w:r>
        <w:t xml:space="preserve"> modificato</w:t>
      </w:r>
      <w:r w:rsidR="0008419D">
        <w:t xml:space="preserve"> dalla Legge Finanziaria</w:t>
      </w:r>
      <w:r w:rsidR="001D4F7C">
        <w:t xml:space="preserve"> 2025</w:t>
      </w:r>
      <w:r>
        <w:t>, ovvero il comma 821</w:t>
      </w:r>
      <w:r w:rsidR="0008419D">
        <w:t>, dedicato dal Legislatore al contenuto della disciplina regolamentare che deve essere adottata dal Consiglio Comunale o Provinciale</w:t>
      </w:r>
      <w:r w:rsidR="00252006">
        <w:t xml:space="preserve">. Qui la modifica interessa </w:t>
      </w:r>
      <w:r w:rsidR="0008419D">
        <w:t xml:space="preserve">solo </w:t>
      </w:r>
      <w:r w:rsidR="00252006">
        <w:t>due lettere</w:t>
      </w:r>
      <w:r w:rsidR="0008419D">
        <w:t xml:space="preserve"> del comma</w:t>
      </w:r>
      <w:r w:rsidR="00252006">
        <w:t>, la D e la F, che assumono il seguente testo:</w:t>
      </w:r>
    </w:p>
    <w:p w14:paraId="68307BA8" w14:textId="456A75CE" w:rsidR="00252006" w:rsidRDefault="00252006" w:rsidP="00252006">
      <w:pPr>
        <w:jc w:val="both"/>
        <w:rPr>
          <w:i/>
          <w:iCs/>
        </w:rPr>
      </w:pPr>
      <w:r>
        <w:t xml:space="preserve">comma 821 lettera d): </w:t>
      </w:r>
      <w:r w:rsidR="0008419D">
        <w:t>“</w:t>
      </w:r>
      <w:r w:rsidR="0008419D" w:rsidRPr="009B4984">
        <w:rPr>
          <w:i/>
          <w:iCs/>
        </w:rPr>
        <w:t>la</w:t>
      </w:r>
      <w:r w:rsidRPr="009B4984">
        <w:rPr>
          <w:i/>
          <w:iCs/>
        </w:rPr>
        <w:t xml:space="preserve"> superficie degli impianti destinati dal comune al servizio delle pubbliche affissioni, ove il comune continui a svolgere tale servizio</w:t>
      </w:r>
      <w:r>
        <w:rPr>
          <w:i/>
          <w:iCs/>
        </w:rPr>
        <w:t>”</w:t>
      </w:r>
    </w:p>
    <w:p w14:paraId="1DB39B27" w14:textId="2036430B" w:rsidR="00252006" w:rsidRDefault="00252006" w:rsidP="00252006">
      <w:pPr>
        <w:jc w:val="both"/>
        <w:rPr>
          <w:i/>
          <w:iCs/>
        </w:rPr>
      </w:pPr>
      <w:r>
        <w:t xml:space="preserve">comma 821 lettera f): </w:t>
      </w:r>
      <w:r w:rsidRPr="00252006">
        <w:rPr>
          <w:i/>
          <w:iCs/>
        </w:rPr>
        <w:t>“le ulteriori esenzioni o riduzioni rispetto a quelle disciplinate dai commi da 816 a 847.</w:t>
      </w:r>
      <w:r>
        <w:t xml:space="preserve"> </w:t>
      </w:r>
      <w:r w:rsidRPr="009B4984">
        <w:rPr>
          <w:i/>
          <w:iCs/>
        </w:rPr>
        <w:t>Per gli impianti ubicati su suolo privato o comunque in aree private, il canone può essere ridotto fino alla metà</w:t>
      </w:r>
      <w:r>
        <w:rPr>
          <w:i/>
          <w:iCs/>
        </w:rPr>
        <w:t>”</w:t>
      </w:r>
      <w:r w:rsidR="0008419D">
        <w:rPr>
          <w:i/>
          <w:iCs/>
        </w:rPr>
        <w:t>.</w:t>
      </w:r>
    </w:p>
    <w:p w14:paraId="763184DE" w14:textId="279462D2" w:rsidR="00515EAD" w:rsidRDefault="0008419D" w:rsidP="00252006">
      <w:pPr>
        <w:jc w:val="both"/>
      </w:pPr>
      <w:r>
        <w:t>S</w:t>
      </w:r>
      <w:r w:rsidR="00252006">
        <w:t xml:space="preserve">e per il comma 817 la modifica apportata ha prodotto un significativo risultato, confermando l’orientamento che </w:t>
      </w:r>
      <w:r w:rsidR="001D4F7C">
        <w:t>vede</w:t>
      </w:r>
      <w:r w:rsidR="00252006">
        <w:t xml:space="preserve"> la possibilità di </w:t>
      </w:r>
      <w:r w:rsidR="001D4F7C">
        <w:t>prevedere una</w:t>
      </w:r>
      <w:r w:rsidR="00252006">
        <w:t xml:space="preserve"> modifica del gettito iniziale, per il comma 821 diventa impossibile apprezzar</w:t>
      </w:r>
      <w:r>
        <w:t>n</w:t>
      </w:r>
      <w:r w:rsidR="00252006">
        <w:t xml:space="preserve">e </w:t>
      </w:r>
      <w:r>
        <w:t xml:space="preserve">i contenuti. </w:t>
      </w:r>
    </w:p>
    <w:p w14:paraId="0432DFE2" w14:textId="3C34403B" w:rsidR="00252006" w:rsidRDefault="00252006" w:rsidP="00252006">
      <w:pPr>
        <w:jc w:val="both"/>
      </w:pPr>
      <w:r>
        <w:t>Risulta infatti difficile comprendere l</w:t>
      </w:r>
      <w:r w:rsidR="0008419D">
        <w:t>’</w:t>
      </w:r>
      <w:r>
        <w:t xml:space="preserve">utilità di queste due modifiche. La prima, </w:t>
      </w:r>
      <w:r w:rsidR="0008419D">
        <w:t xml:space="preserve">sostanzialmente </w:t>
      </w:r>
      <w:r>
        <w:t>serve a precisare un</w:t>
      </w:r>
      <w:r w:rsidR="0008419D">
        <w:t>’</w:t>
      </w:r>
      <w:r>
        <w:t>ovvietà. Nessuno</w:t>
      </w:r>
      <w:r w:rsidR="00515EAD">
        <w:t xml:space="preserve"> degli enti che ha soppresso il servizio delle pubbliche affissioni ai sensi del comma 836,</w:t>
      </w:r>
      <w:r>
        <w:t xml:space="preserve"> </w:t>
      </w:r>
      <w:r w:rsidR="00515EAD">
        <w:t>s</w:t>
      </w:r>
      <w:r>
        <w:t xml:space="preserve">i </w:t>
      </w:r>
      <w:r w:rsidR="00515EAD">
        <w:t xml:space="preserve">è </w:t>
      </w:r>
      <w:r>
        <w:t xml:space="preserve">posto il problema di fissare nel </w:t>
      </w:r>
      <w:r w:rsidR="00187421">
        <w:t>proprio</w:t>
      </w:r>
      <w:r>
        <w:t xml:space="preserve"> regolamento </w:t>
      </w:r>
      <w:r w:rsidR="00187421" w:rsidRPr="00187421">
        <w:t>la superficie degli impianti destinati a</w:t>
      </w:r>
      <w:r w:rsidR="00515EAD">
        <w:t xml:space="preserve"> tale</w:t>
      </w:r>
      <w:r w:rsidR="00187421" w:rsidRPr="00187421">
        <w:t xml:space="preserve"> servizi</w:t>
      </w:r>
      <w:r w:rsidR="00515EAD">
        <w:t>o (dismesso)</w:t>
      </w:r>
      <w:r w:rsidR="00187421">
        <w:t xml:space="preserve">. Per questo la precisazione appare assolutamente inutile. La seconda invece può essere valutata </w:t>
      </w:r>
      <w:r w:rsidR="00515EAD">
        <w:t xml:space="preserve">solo </w:t>
      </w:r>
      <w:r w:rsidR="00187421">
        <w:t xml:space="preserve">come </w:t>
      </w:r>
      <w:r w:rsidR="00515EAD">
        <w:t xml:space="preserve">un </w:t>
      </w:r>
      <w:r w:rsidR="00187421">
        <w:t>invito, un</w:t>
      </w:r>
      <w:r w:rsidR="00515EAD">
        <w:t>a sorta di</w:t>
      </w:r>
      <w:r w:rsidR="00187421">
        <w:t xml:space="preserve"> suggerimento</w:t>
      </w:r>
      <w:r w:rsidR="00515EAD">
        <w:t xml:space="preserve"> agli enti locali. La</w:t>
      </w:r>
      <w:r w:rsidR="00187421">
        <w:t xml:space="preserve"> portata della modifica normativa è </w:t>
      </w:r>
      <w:r w:rsidR="00515EAD">
        <w:t xml:space="preserve">di fatto </w:t>
      </w:r>
      <w:r w:rsidR="00187421">
        <w:t xml:space="preserve">nulla. La possibilità di ridurre il canone per i casi di impianti (intesi come impianti pubblicitari?)  realizzati su aree private era già insita nella disciplina e </w:t>
      </w:r>
      <w:r w:rsidR="00515EAD">
        <w:t>nella stessa</w:t>
      </w:r>
      <w:r w:rsidR="00187421">
        <w:t xml:space="preserve"> lettera F del comma 821, quando il Legislatore specificava</w:t>
      </w:r>
      <w:r w:rsidR="00515EAD">
        <w:t xml:space="preserve"> fin dalla prima stesura</w:t>
      </w:r>
      <w:r w:rsidR="00187421">
        <w:t xml:space="preserve"> la possibilità per i soggetti attivi di stabilire </w:t>
      </w:r>
      <w:r w:rsidR="00515EAD">
        <w:t xml:space="preserve">esenzioni e </w:t>
      </w:r>
      <w:r w:rsidR="00187421">
        <w:t>riduzioni per specifiche fattispecie</w:t>
      </w:r>
      <w:r w:rsidR="00515EAD">
        <w:t xml:space="preserve"> oltre quelle fissate per legge</w:t>
      </w:r>
      <w:r w:rsidR="00187421">
        <w:t xml:space="preserve">. </w:t>
      </w:r>
      <w:r w:rsidR="00515EAD">
        <w:t>M</w:t>
      </w:r>
      <w:r w:rsidR="00187421">
        <w:t xml:space="preserve">olte amministrazioni </w:t>
      </w:r>
      <w:r w:rsidR="00515EAD">
        <w:t xml:space="preserve">infatti </w:t>
      </w:r>
      <w:r w:rsidR="00187421">
        <w:t xml:space="preserve">avevano già previsto </w:t>
      </w:r>
      <w:r w:rsidR="00515EAD">
        <w:t xml:space="preserve">proprio </w:t>
      </w:r>
      <w:r w:rsidR="00187421">
        <w:t>questa misura di riduzione</w:t>
      </w:r>
      <w:r w:rsidR="00515EAD">
        <w:t xml:space="preserve"> che va a distinguere l’impatto e il sacrificio imposto alla collettività realizzato da un impianto pubblicitario quando collocato su area pubblica rispetto a </w:t>
      </w:r>
      <w:r w:rsidR="001D4F7C">
        <w:t>quelli che sono</w:t>
      </w:r>
      <w:r w:rsidR="00515EAD">
        <w:t xml:space="preserve"> solo visibil</w:t>
      </w:r>
      <w:r w:rsidR="001D4F7C">
        <w:t>i</w:t>
      </w:r>
      <w:r w:rsidR="00515EAD">
        <w:t xml:space="preserve"> da </w:t>
      </w:r>
      <w:r w:rsidR="001D4F7C">
        <w:t>strade e piazze</w:t>
      </w:r>
      <w:r w:rsidR="00515EAD">
        <w:t xml:space="preserve"> pubblic</w:t>
      </w:r>
      <w:r w:rsidR="001D4F7C">
        <w:t>he</w:t>
      </w:r>
      <w:r w:rsidR="00515EAD">
        <w:t>.</w:t>
      </w:r>
    </w:p>
    <w:p w14:paraId="005E5970" w14:textId="614B1B1F" w:rsidR="00515EAD" w:rsidRDefault="00515EAD" w:rsidP="004445C8">
      <w:pPr>
        <w:jc w:val="both"/>
      </w:pPr>
      <w:r>
        <w:t>Il terzo comma interessato alle modifiche della Legge Finanziaria 2025 è il comma 825, ovvero il comma dedicato al criterio di calcolo del Canone per le iniziative pubblicitarie.</w:t>
      </w:r>
      <w:r w:rsidR="004445C8">
        <w:t xml:space="preserve"> Anche in questo caso le modifiche sono due e interessano due </w:t>
      </w:r>
      <w:r w:rsidR="001D4F7C">
        <w:t xml:space="preserve">distinte </w:t>
      </w:r>
      <w:r w:rsidR="004445C8">
        <w:t xml:space="preserve">parti del testo, che diventa: </w:t>
      </w:r>
      <w:r w:rsidR="004445C8" w:rsidRPr="004445C8">
        <w:rPr>
          <w:i/>
          <w:iCs/>
        </w:rPr>
        <w:t>“825. Per la diffusione di messaggi pubblicitari di cui al comma 819, lettera b), il canone è determinato in base alla superficie complessiva del mezzo pubblicitario</w:t>
      </w:r>
      <w:r w:rsidR="004445C8">
        <w:rPr>
          <w:i/>
          <w:iCs/>
        </w:rPr>
        <w:t xml:space="preserve"> </w:t>
      </w:r>
      <w:r w:rsidR="004445C8" w:rsidRPr="009B4984">
        <w:rPr>
          <w:i/>
          <w:iCs/>
        </w:rPr>
        <w:t>esclusa quella relativa agli elementi privi di carattere pubblicitario</w:t>
      </w:r>
      <w:r w:rsidR="004445C8" w:rsidRPr="004445C8">
        <w:rPr>
          <w:i/>
          <w:iCs/>
        </w:rPr>
        <w:t xml:space="preserve">, calcolata in metri quadrati, </w:t>
      </w:r>
      <w:r w:rsidR="004445C8" w:rsidRPr="004445C8">
        <w:rPr>
          <w:i/>
          <w:iCs/>
        </w:rPr>
        <w:lastRenderedPageBreak/>
        <w:t>indipendentemente dal tipo e dal numero dei messaggi. Per la pubblicità effettuata all’esterno di veicoli adibiti a uso pubblico o a uso privato, il canone è dovuto rispettivamente al comune che ha rilasciato la licenza di esercizio e al comune in cui il proprietario del veicolo ha la residenza o la sede. In ogni caso è obbligato in solido al pagamento il soggetto che utilizza il mezzo per diffondere il messaggio. Non sono soggette al canone le superfici inferiori a trecento centimetri quadrati.</w:t>
      </w:r>
      <w:r w:rsidR="004445C8">
        <w:rPr>
          <w:i/>
          <w:iCs/>
        </w:rPr>
        <w:t xml:space="preserve"> </w:t>
      </w:r>
      <w:r w:rsidR="004445C8" w:rsidRPr="009B4984">
        <w:rPr>
          <w:i/>
          <w:iCs/>
        </w:rPr>
        <w:t>In caso di installazione, su un unico impianto pubblicitario, di una pluralità di segnali turistici o di territorio o di frecce direzionali, anche riferiti a soggetti e ad aziende diversi, la superficie assoggettabile al canone unico patrimoniale è quella dell'intero impianto oggetto della concessione o dell'autorizzazione. Nell'ipotesi in cui i titolari del provvedimento di concessione o di autorizzazione all'installazione dell'impianto siano diversi, il canone è liquidato distintamente, in proporzione alla superficie del segnale o del gruppo segnaletico posto nella disponibilità di ciascuno di essi</w:t>
      </w:r>
      <w:r w:rsidR="004445C8" w:rsidRPr="004445C8">
        <w:rPr>
          <w:i/>
          <w:iCs/>
        </w:rPr>
        <w:t>”</w:t>
      </w:r>
    </w:p>
    <w:p w14:paraId="7931ECA8" w14:textId="546ADB9E" w:rsidR="000A3FFD" w:rsidRDefault="00791FEE" w:rsidP="000A3FFD">
      <w:pPr>
        <w:jc w:val="both"/>
      </w:pPr>
      <w:r>
        <w:t>La prima modifica del comma 825 si dimostra poco utile</w:t>
      </w:r>
      <w:r w:rsidR="00A74A93">
        <w:t xml:space="preserve">. Viene precisato che non fanno parte della superficie impositiva quegli elementi del mezzo pubblicitario che non costituiscono superficie utile alla diffusione pubblicitaria. Tipicamente parliamo delle cornici, ovvero elementi strutturali di supporto del mezzo che hanno una finalità diversa </w:t>
      </w:r>
      <w:r w:rsidR="00B22C6C">
        <w:t>rispetto al</w:t>
      </w:r>
      <w:r w:rsidR="002773B0">
        <w:t xml:space="preserve"> diffondere messaggi pubblicitari. Attenzione a non leggere questa modifica come una volontà di limitare la superficie imponibile a quella effettivamente sfruttata dell’impianto. Il </w:t>
      </w:r>
      <w:r w:rsidR="000A3FFD">
        <w:t xml:space="preserve">corretto </w:t>
      </w:r>
      <w:r w:rsidR="002773B0">
        <w:t>concetto</w:t>
      </w:r>
      <w:r w:rsidR="000A3FFD">
        <w:t xml:space="preserve"> da </w:t>
      </w:r>
      <w:r w:rsidR="00B22C6C">
        <w:t>applicare è</w:t>
      </w:r>
      <w:r w:rsidR="002773B0">
        <w:t xml:space="preserve"> </w:t>
      </w:r>
      <w:r w:rsidR="00B22C6C">
        <w:t xml:space="preserve">semplicemente </w:t>
      </w:r>
      <w:r w:rsidR="002773B0">
        <w:t xml:space="preserve">quello della potenziale </w:t>
      </w:r>
      <w:proofErr w:type="spellStart"/>
      <w:r w:rsidR="002773B0">
        <w:t>sfruttabilità</w:t>
      </w:r>
      <w:proofErr w:type="spellEnd"/>
      <w:r w:rsidR="002773B0">
        <w:t xml:space="preserve"> dell’intera superficie espositiva </w:t>
      </w:r>
      <w:r w:rsidR="002773B0" w:rsidRPr="004445C8">
        <w:rPr>
          <w:i/>
          <w:iCs/>
        </w:rPr>
        <w:t>indipendentemente dal tipo e dal numero dei messaggi</w:t>
      </w:r>
      <w:r w:rsidR="002773B0">
        <w:rPr>
          <w:i/>
          <w:iCs/>
        </w:rPr>
        <w:t xml:space="preserve">, </w:t>
      </w:r>
      <w:r w:rsidR="002773B0">
        <w:t>dalla quale</w:t>
      </w:r>
      <w:r w:rsidR="000A3FFD">
        <w:t xml:space="preserve"> oggi </w:t>
      </w:r>
      <w:r w:rsidR="002773B0">
        <w:t xml:space="preserve">il Legislatore </w:t>
      </w:r>
      <w:r w:rsidR="00B22C6C">
        <w:t xml:space="preserve">si limita ad </w:t>
      </w:r>
      <w:r w:rsidR="002773B0">
        <w:t>esclude</w:t>
      </w:r>
      <w:r w:rsidR="00B22C6C">
        <w:t>re</w:t>
      </w:r>
      <w:r w:rsidR="002773B0">
        <w:t xml:space="preserve"> le parti non destinate a </w:t>
      </w:r>
      <w:r w:rsidR="000A3FFD">
        <w:t>diffondere</w:t>
      </w:r>
      <w:r w:rsidR="002773B0">
        <w:t xml:space="preserve"> un messaggio pubblicitario. La modifica si rivela davvero </w:t>
      </w:r>
      <w:r w:rsidR="000A3FFD">
        <w:t>modesta</w:t>
      </w:r>
      <w:r w:rsidR="002773B0">
        <w:t xml:space="preserve">, la giurisprudenza a più riprese si era già pronunciata in tal senso </w:t>
      </w:r>
      <w:r w:rsidR="00FE72DF">
        <w:t xml:space="preserve">e nessun </w:t>
      </w:r>
      <w:r w:rsidR="000A3FFD">
        <w:t>ufficio oggi applica il canone su cornici o elementi strutturali non destinati a diffondere un messaggio pubblicitario.</w:t>
      </w:r>
    </w:p>
    <w:p w14:paraId="36A8C9BD" w14:textId="67992B4E" w:rsidR="004445C8" w:rsidRDefault="000A3FFD" w:rsidP="000A3FFD">
      <w:pPr>
        <w:jc w:val="both"/>
      </w:pPr>
      <w:r>
        <w:t xml:space="preserve">Tra le tante sentenze sull’argomento si richiama la Cassazione del </w:t>
      </w:r>
      <w:r w:rsidR="00B22C6C">
        <w:t>30.10.2009 n.</w:t>
      </w:r>
      <w:r>
        <w:t xml:space="preserve"> 23023, con la </w:t>
      </w:r>
      <w:r w:rsidR="00B22C6C">
        <w:t xml:space="preserve">quale </w:t>
      </w:r>
      <w:r>
        <w:t>era</w:t>
      </w:r>
      <w:r w:rsidR="00B22C6C">
        <w:t xml:space="preserve"> stato già</w:t>
      </w:r>
      <w:r>
        <w:t xml:space="preserve">  acclarato che la superficie del mezzo circostante il messaggio pubblicitario resta esente dall'imposizione in quanto è costituita da una cornice oggettivamente distinta dallo spazio destinato alla pubblicità, </w:t>
      </w:r>
      <w:proofErr w:type="spellStart"/>
      <w:r w:rsidR="00B22C6C">
        <w:t>purchè</w:t>
      </w:r>
      <w:proofErr w:type="spellEnd"/>
      <w:r>
        <w:t xml:space="preserve"> sia anche strutturalmente inidonea ad essere utilizzata per la diffusione del messaggio.</w:t>
      </w:r>
    </w:p>
    <w:p w14:paraId="64B8FD1C" w14:textId="14AC1C0B" w:rsidR="00FE72DF" w:rsidRDefault="00FE72DF" w:rsidP="00252006">
      <w:pPr>
        <w:jc w:val="both"/>
      </w:pPr>
      <w:r>
        <w:t xml:space="preserve">Più rilevante </w:t>
      </w:r>
      <w:r w:rsidR="00FE6AA0">
        <w:t xml:space="preserve">invece </w:t>
      </w:r>
      <w:r>
        <w:t xml:space="preserve">la seconda modifica, che va ad alterare un orientamento </w:t>
      </w:r>
      <w:r w:rsidR="00CA03D3">
        <w:t xml:space="preserve">ormai </w:t>
      </w:r>
      <w:r>
        <w:t xml:space="preserve">diffuso sul criterio di tassazione delle </w:t>
      </w:r>
      <w:proofErr w:type="spellStart"/>
      <w:r>
        <w:t>pre</w:t>
      </w:r>
      <w:proofErr w:type="spellEnd"/>
      <w:r>
        <w:t>-insegne. Questa</w:t>
      </w:r>
      <w:r w:rsidR="00B22C6C">
        <w:t>, tra tutte,</w:t>
      </w:r>
      <w:r>
        <w:t xml:space="preserve"> </w:t>
      </w:r>
      <w:r w:rsidR="00CA03D3">
        <w:t>rappresenta</w:t>
      </w:r>
      <w:r>
        <w:t xml:space="preserve"> </w:t>
      </w:r>
      <w:r w:rsidR="00B22C6C">
        <w:t xml:space="preserve">effettivamente </w:t>
      </w:r>
      <w:r>
        <w:t>l’unica modifica che avrà un impatto reale nella gestione del Canone e andrà ad incidere</w:t>
      </w:r>
      <w:r w:rsidR="00B91301">
        <w:t>, a partire dal 2025 e non prima,</w:t>
      </w:r>
      <w:r>
        <w:t xml:space="preserve"> </w:t>
      </w:r>
      <w:r w:rsidR="00CA03D3">
        <w:t xml:space="preserve">concretamente </w:t>
      </w:r>
      <w:r>
        <w:t xml:space="preserve">sul gettito atteso derivante dalle iniziative pubblicitarie. </w:t>
      </w:r>
      <w:r w:rsidR="00B22C6C">
        <w:t>Mentre t</w:t>
      </w:r>
      <w:r>
        <w:t xml:space="preserve">utte le altre modifiche possiamo definirle di stile e comunque confermative di un orientamento già consolidato, questa, come detto, costituisce </w:t>
      </w:r>
      <w:r w:rsidR="00CA03D3">
        <w:t>per la maggior parte delle realtà locali,</w:t>
      </w:r>
      <w:r>
        <w:t xml:space="preserve"> una novità che si pone in contrasto con </w:t>
      </w:r>
      <w:r w:rsidR="00CA03D3">
        <w:t>i</w:t>
      </w:r>
      <w:r>
        <w:t xml:space="preserve"> regolamenti adottati da Comuni, Province e Città Metropolitane</w:t>
      </w:r>
      <w:r w:rsidR="00B91301">
        <w:t xml:space="preserve"> che verosimilmente dovranno essere adeguati alla nuova disposizione con effetto a far data dal 1 gennaio 2025</w:t>
      </w:r>
      <w:r>
        <w:t>.</w:t>
      </w:r>
    </w:p>
    <w:p w14:paraId="1E39F9E6" w14:textId="70724A98" w:rsidR="00CA03D3" w:rsidRDefault="00991FB0" w:rsidP="00CA03D3">
      <w:pPr>
        <w:jc w:val="both"/>
      </w:pPr>
      <w:r>
        <w:t>Si deve registrare come s</w:t>
      </w:r>
      <w:r w:rsidR="00CA03D3">
        <w:t>u</w:t>
      </w:r>
      <w:r w:rsidR="00B22C6C">
        <w:t>l</w:t>
      </w:r>
      <w:r w:rsidR="00CA03D3">
        <w:t xml:space="preserve"> criterio di “tassazione” delle </w:t>
      </w:r>
      <w:r w:rsidR="00CA03D3" w:rsidRPr="009B4984">
        <w:rPr>
          <w:i/>
          <w:iCs/>
        </w:rPr>
        <w:t>pluralità di segnali turistici o di territorio o di frecce direzionali</w:t>
      </w:r>
      <w:r w:rsidR="00CA03D3">
        <w:rPr>
          <w:i/>
          <w:iCs/>
        </w:rPr>
        <w:t xml:space="preserve">, </w:t>
      </w:r>
      <w:r w:rsidR="00CA03D3" w:rsidRPr="00CA03D3">
        <w:t xml:space="preserve">si era </w:t>
      </w:r>
      <w:r>
        <w:t xml:space="preserve">già </w:t>
      </w:r>
      <w:r w:rsidR="00CA03D3" w:rsidRPr="00CA03D3">
        <w:t>espressa</w:t>
      </w:r>
      <w:r w:rsidR="00CA03D3">
        <w:rPr>
          <w:i/>
          <w:iCs/>
        </w:rPr>
        <w:t xml:space="preserve"> </w:t>
      </w:r>
      <w:r w:rsidR="00CA03D3">
        <w:t xml:space="preserve">la giurisprudenza nel corso degli anni assumendo un orientamento </w:t>
      </w:r>
      <w:r>
        <w:t xml:space="preserve">diametralmente </w:t>
      </w:r>
      <w:r w:rsidR="00B22C6C">
        <w:t>opposto</w:t>
      </w:r>
      <w:r w:rsidR="00CA03D3">
        <w:t xml:space="preserve"> rispetto a quanto </w:t>
      </w:r>
      <w:r>
        <w:t xml:space="preserve">oggi </w:t>
      </w:r>
      <w:r w:rsidR="00CA03D3">
        <w:t xml:space="preserve">contenuto nella modifica apportata </w:t>
      </w:r>
      <w:r w:rsidR="00B22C6C">
        <w:t>dalla Legge Finanziaria 2025</w:t>
      </w:r>
      <w:r w:rsidR="00CA03D3">
        <w:t>. Ricordiamo in particolare le sentenze di Corte di Cassazione n° 252/2012 e n° 10459/2018, relative all'ICP, in cui fu affermato il principio secondo il quale</w:t>
      </w:r>
      <w:r>
        <w:t>,</w:t>
      </w:r>
      <w:r w:rsidR="00CA03D3">
        <w:t xml:space="preserve"> nell’ipotesi di plurimi messaggi pubblicitari  di aziende diverse  collocati su un unico pannello, il tributo dovesse essere determinato in base alla superficie espositiva utilizzata da ciascuna delle imprese reclamizzate, indipendentemente dalle dimensioni del mezzo pubblicitario cumulativo</w:t>
      </w:r>
      <w:r>
        <w:t xml:space="preserve"> e indipendentemente dal titolo amministrativo rilasciato</w:t>
      </w:r>
      <w:r w:rsidR="00CA03D3">
        <w:t>.</w:t>
      </w:r>
      <w:r w:rsidR="00B22C6C">
        <w:t xml:space="preserve"> Del resto questi spazi</w:t>
      </w:r>
      <w:r>
        <w:t xml:space="preserve">, anche quando riferiti </w:t>
      </w:r>
      <w:r w:rsidR="00550A2F">
        <w:t>ad un’unica concessione,</w:t>
      </w:r>
      <w:r w:rsidR="00B22C6C">
        <w:t xml:space="preserve"> vengono commercializzati singolarmente dalla ditta che ha la disponibilità dell’impianto, così che il relativo beneficio economico deriva non tanto dall’impianto nel suo insieme, ma piuttosto dai singoli spazi espositivi sfruttati per la reclamizzazione di aziende diverse.</w:t>
      </w:r>
    </w:p>
    <w:p w14:paraId="76AE5A58" w14:textId="2C2E2CB3" w:rsidR="00B1607E" w:rsidRPr="009B4984" w:rsidRDefault="00550A2F" w:rsidP="009B4984">
      <w:pPr>
        <w:jc w:val="both"/>
      </w:pPr>
      <w:r>
        <w:t>In ogni caso, o</w:t>
      </w:r>
      <w:r w:rsidR="00CA03D3">
        <w:t xml:space="preserve">ggi la modifica apportata alla disciplina, </w:t>
      </w:r>
      <w:r>
        <w:t xml:space="preserve">è Legge ed </w:t>
      </w:r>
      <w:r w:rsidR="00B22C6C">
        <w:t>impone</w:t>
      </w:r>
      <w:r w:rsidR="00B91301">
        <w:t>, pro futuro,</w:t>
      </w:r>
      <w:r w:rsidR="00B22C6C">
        <w:t xml:space="preserve"> di </w:t>
      </w:r>
      <w:r w:rsidR="00CA03D3">
        <w:t xml:space="preserve">rivedere i criteri fin qui adottati, </w:t>
      </w:r>
      <w:r w:rsidR="00B445A1">
        <w:t>comportando</w:t>
      </w:r>
      <w:r w:rsidR="00CA03D3">
        <w:t xml:space="preserve"> </w:t>
      </w:r>
      <w:r>
        <w:t xml:space="preserve">sia </w:t>
      </w:r>
      <w:r w:rsidR="00CA03D3">
        <w:t>la revisione del</w:t>
      </w:r>
      <w:r w:rsidR="00B445A1">
        <w:t xml:space="preserve"> Regolamento comunale o provinciale</w:t>
      </w:r>
      <w:r>
        <w:t xml:space="preserve">, sia </w:t>
      </w:r>
      <w:r w:rsidR="00CA03D3">
        <w:t xml:space="preserve">la </w:t>
      </w:r>
      <w:r w:rsidR="008076B7">
        <w:t>riscrittura</w:t>
      </w:r>
      <w:r w:rsidR="00CA03D3">
        <w:t xml:space="preserve"> della banca dati, andando a rideterminare </w:t>
      </w:r>
      <w:r>
        <w:t>l’importo del</w:t>
      </w:r>
      <w:r w:rsidR="00CA03D3">
        <w:t xml:space="preserve"> </w:t>
      </w:r>
      <w:r>
        <w:t xml:space="preserve">canone dovuto dalle aziende pubblicitarie </w:t>
      </w:r>
      <w:r w:rsidR="00CA03D3">
        <w:t xml:space="preserve">secondo quanto </w:t>
      </w:r>
      <w:r w:rsidR="00CA03D3">
        <w:lastRenderedPageBreak/>
        <w:t xml:space="preserve">disposto dalla </w:t>
      </w:r>
      <w:r>
        <w:t xml:space="preserve">nuova </w:t>
      </w:r>
      <w:r w:rsidR="00CA03D3">
        <w:t>legge Finanziaria</w:t>
      </w:r>
      <w:r w:rsidR="00B91301">
        <w:t xml:space="preserve">, precisando che la norma, non rivestendo carattere interpretativo ma piuttosto di novità rispetto alla disciplina contenuta nel comma 825, avrà efficacia solo dal 2025. </w:t>
      </w:r>
    </w:p>
    <w:sectPr w:rsidR="00B1607E" w:rsidRPr="009B4984">
      <w:pgSz w:w="11906" w:h="16838"/>
      <w:pgMar w:top="1417" w:right="1134" w:bottom="1134" w:left="113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defaultTabStop w:val="708"/>
  <w:hyphenationZone w:val="283"/>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918E4"/>
    <w:rsid w:val="00060149"/>
    <w:rsid w:val="0008419D"/>
    <w:rsid w:val="000A3FFD"/>
    <w:rsid w:val="000E1734"/>
    <w:rsid w:val="00187421"/>
    <w:rsid w:val="001D4F7C"/>
    <w:rsid w:val="0020162E"/>
    <w:rsid w:val="00252006"/>
    <w:rsid w:val="002773B0"/>
    <w:rsid w:val="002C0F62"/>
    <w:rsid w:val="004445C8"/>
    <w:rsid w:val="004655ED"/>
    <w:rsid w:val="005036CA"/>
    <w:rsid w:val="00515EAD"/>
    <w:rsid w:val="00522767"/>
    <w:rsid w:val="00550A2F"/>
    <w:rsid w:val="005918E4"/>
    <w:rsid w:val="006907AD"/>
    <w:rsid w:val="0076466F"/>
    <w:rsid w:val="00791FEE"/>
    <w:rsid w:val="007B1496"/>
    <w:rsid w:val="007C32ED"/>
    <w:rsid w:val="008076B7"/>
    <w:rsid w:val="00991FB0"/>
    <w:rsid w:val="009A64BE"/>
    <w:rsid w:val="009B4984"/>
    <w:rsid w:val="009D3115"/>
    <w:rsid w:val="00A74A93"/>
    <w:rsid w:val="00A94BEC"/>
    <w:rsid w:val="00A9579F"/>
    <w:rsid w:val="00AE165D"/>
    <w:rsid w:val="00B1607E"/>
    <w:rsid w:val="00B22C6C"/>
    <w:rsid w:val="00B445A1"/>
    <w:rsid w:val="00B91301"/>
    <w:rsid w:val="00B976BC"/>
    <w:rsid w:val="00C16AB6"/>
    <w:rsid w:val="00C274FD"/>
    <w:rsid w:val="00C81843"/>
    <w:rsid w:val="00CA03D3"/>
    <w:rsid w:val="00D65DEB"/>
    <w:rsid w:val="00D76B6D"/>
    <w:rsid w:val="00E30844"/>
    <w:rsid w:val="00F72468"/>
    <w:rsid w:val="00FC2F1D"/>
    <w:rsid w:val="00FE6AA0"/>
    <w:rsid w:val="00FE72DF"/>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F2F449"/>
  <w15:chartTrackingRefBased/>
  <w15:docId w15:val="{6835A6D1-D2C4-4843-A74D-6B5B2386586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it-IT"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character" w:default="1" w:styleId="Carpredefinitoparagrafo">
    <w:name w:val="Default Paragraph Font"/>
    <w:uiPriority w:val="1"/>
    <w:semiHidden/>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styleId="Collegamentoipertestuale">
    <w:name w:val="Hyperlink"/>
    <w:basedOn w:val="Carpredefinitoparagrafo"/>
    <w:uiPriority w:val="99"/>
    <w:unhideWhenUsed/>
    <w:rsid w:val="006907AD"/>
    <w:rPr>
      <w:color w:val="0563C1" w:themeColor="hyperlink"/>
      <w:u w:val="single"/>
    </w:rPr>
  </w:style>
  <w:style w:type="character" w:styleId="Menzionenonrisolta">
    <w:name w:val="Unresolved Mention"/>
    <w:basedOn w:val="Carpredefinitoparagrafo"/>
    <w:uiPriority w:val="99"/>
    <w:semiHidden/>
    <w:unhideWhenUsed/>
    <w:rsid w:val="006907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3308421">
      <w:bodyDiv w:val="1"/>
      <w:marLeft w:val="0"/>
      <w:marRight w:val="0"/>
      <w:marTop w:val="0"/>
      <w:marBottom w:val="0"/>
      <w:divBdr>
        <w:top w:val="none" w:sz="0" w:space="0" w:color="auto"/>
        <w:left w:val="none" w:sz="0" w:space="0" w:color="auto"/>
        <w:bottom w:val="none" w:sz="0" w:space="0" w:color="auto"/>
        <w:right w:val="none" w:sz="0" w:space="0" w:color="auto"/>
      </w:divBdr>
    </w:div>
    <w:div w:id="88791093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361</TotalTime>
  <Pages>4</Pages>
  <Words>1997</Words>
  <Characters>11384</Characters>
  <Application>Microsoft Office Word</Application>
  <DocSecurity>0</DocSecurity>
  <Lines>94</Lines>
  <Paragraphs>26</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13355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alessandro merciari</dc:creator>
  <cp:keywords/>
  <dc:description/>
  <cp:lastModifiedBy>Merciari</cp:lastModifiedBy>
  <cp:revision>19</cp:revision>
  <dcterms:created xsi:type="dcterms:W3CDTF">2025-01-10T14:01:00Z</dcterms:created>
  <dcterms:modified xsi:type="dcterms:W3CDTF">2025-01-16T14:33:00Z</dcterms:modified>
</cp:coreProperties>
</file>