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5200" w14:textId="242966D9" w:rsidR="00060149" w:rsidRDefault="008F7720">
      <w:r>
        <w:t>Titolo</w:t>
      </w:r>
      <w:r w:rsidR="00F05C09">
        <w:t xml:space="preserve">: </w:t>
      </w:r>
      <w:r w:rsidR="00585BF9">
        <w:t xml:space="preserve">Non è possibile chiedere il pagamento del canone per occupazioni </w:t>
      </w:r>
      <w:r w:rsidR="00585BF9">
        <w:t>o</w:t>
      </w:r>
      <w:r w:rsidR="00585BF9">
        <w:t xml:space="preserve"> esposizioni senza un titolo amministrativo valido</w:t>
      </w:r>
    </w:p>
    <w:p w14:paraId="1235EF6D" w14:textId="29ED11B4" w:rsidR="008F7720" w:rsidRDefault="008F7720">
      <w:r>
        <w:t>Di Alessandro Merciari</w:t>
      </w:r>
    </w:p>
    <w:p w14:paraId="003E583E" w14:textId="77777777" w:rsidR="008F7720" w:rsidRDefault="008F7720"/>
    <w:p w14:paraId="65FA11D9" w14:textId="0E9BB532" w:rsidR="008F7720" w:rsidRDefault="008F7720" w:rsidP="000365F4">
      <w:pPr>
        <w:jc w:val="both"/>
      </w:pPr>
      <w:r>
        <w:t xml:space="preserve">Al quinto anno di gestione del Canone Unico Patrimoniale le criticità e i modelli di gestione dell’entrata sono, </w:t>
      </w:r>
      <w:r w:rsidR="000365F4">
        <w:t>usando un’espressione</w:t>
      </w:r>
      <w:r>
        <w:t xml:space="preserve"> </w:t>
      </w:r>
      <w:r w:rsidR="000365F4">
        <w:t>ottimista, ancora</w:t>
      </w:r>
      <w:r>
        <w:t xml:space="preserve"> in fase di perfezionamento.</w:t>
      </w:r>
      <w:r w:rsidR="00842B83">
        <w:t xml:space="preserve"> </w:t>
      </w:r>
      <w:r>
        <w:t>Nella maggior parte delle realtà comunali e provinciali, stiamo ancora vivendo una gestione ICP</w:t>
      </w:r>
      <w:r w:rsidR="000365F4">
        <w:t xml:space="preserve"> – Imposta Comunale sulla Pubblicità,</w:t>
      </w:r>
      <w:r>
        <w:t xml:space="preserve"> </w:t>
      </w:r>
      <w:r w:rsidR="00842B83">
        <w:t>e TOSAP</w:t>
      </w:r>
      <w:r w:rsidR="00564DAF">
        <w:t>/COSAP</w:t>
      </w:r>
      <w:r w:rsidR="00842B83">
        <w:t xml:space="preserve"> </w:t>
      </w:r>
      <w:r>
        <w:t>mascherat</w:t>
      </w:r>
      <w:r w:rsidR="00842B83">
        <w:t>e</w:t>
      </w:r>
      <w:r>
        <w:t xml:space="preserve"> da CUP</w:t>
      </w:r>
      <w:r w:rsidR="000365F4">
        <w:t xml:space="preserve">. </w:t>
      </w:r>
    </w:p>
    <w:p w14:paraId="4BD9B7E0" w14:textId="5EC536DF" w:rsidR="000365F4" w:rsidRDefault="000365F4" w:rsidP="000365F4">
      <w:pPr>
        <w:jc w:val="both"/>
      </w:pPr>
      <w:r>
        <w:t xml:space="preserve">Non si è riusciti </w:t>
      </w:r>
      <w:r w:rsidR="00564DAF">
        <w:t xml:space="preserve">nei fatti </w:t>
      </w:r>
      <w:r>
        <w:t xml:space="preserve">a </w:t>
      </w:r>
      <w:r w:rsidR="00842B83">
        <w:t>realizzare</w:t>
      </w:r>
      <w:r>
        <w:t xml:space="preserve"> quel passaggio d’impostazione che </w:t>
      </w:r>
      <w:r w:rsidR="00842B83">
        <w:t>imponeva</w:t>
      </w:r>
      <w:r>
        <w:t xml:space="preserve"> la nuova entrata collegata direttamente </w:t>
      </w:r>
      <w:r w:rsidR="00842B83">
        <w:t xml:space="preserve">e indissolubilmente </w:t>
      </w:r>
      <w:r>
        <w:t>agli aspetti amministrativi del rilascio delle autorizzazioni e delle concessioni.</w:t>
      </w:r>
    </w:p>
    <w:p w14:paraId="6B4F956D" w14:textId="21004BE1" w:rsidR="000365F4" w:rsidRDefault="00564DAF" w:rsidP="000365F4">
      <w:pPr>
        <w:jc w:val="both"/>
      </w:pPr>
      <w:r>
        <w:t>Quasi sempre</w:t>
      </w:r>
      <w:r w:rsidR="00842B83">
        <w:t xml:space="preserve"> troviamo b</w:t>
      </w:r>
      <w:r w:rsidR="000365F4">
        <w:t xml:space="preserve">anche dati sulle quali gestire gli incassi attesi per le occupazioni di suolo pubblico e </w:t>
      </w:r>
      <w:r>
        <w:t xml:space="preserve">per </w:t>
      </w:r>
      <w:r w:rsidR="000365F4">
        <w:t xml:space="preserve">le diffusioni pubblicitarie presenti nel proprio territorio di competenza, </w:t>
      </w:r>
      <w:r w:rsidR="00842B83">
        <w:t>che non tengono</w:t>
      </w:r>
      <w:r w:rsidR="0083201D">
        <w:t xml:space="preserve"> minimamente</w:t>
      </w:r>
      <w:r w:rsidR="00842B83">
        <w:t xml:space="preserve"> conto se i manufatti sono </w:t>
      </w:r>
      <w:r w:rsidR="000365F4">
        <w:t xml:space="preserve">in regola con il titolo amministrativo necessario per la loro presenza lungo le strade o in vista di esse. </w:t>
      </w:r>
    </w:p>
    <w:p w14:paraId="426979D3" w14:textId="23DC4996" w:rsidR="00842B83" w:rsidRDefault="000365F4" w:rsidP="00564DAF">
      <w:pPr>
        <w:jc w:val="both"/>
        <w:rPr>
          <w:i/>
          <w:iCs/>
        </w:rPr>
      </w:pPr>
      <w:r>
        <w:t xml:space="preserve">Eppure la normativa del Canone Unico è chiara nel differenziare le situazioni tra ciò che è esposto </w:t>
      </w:r>
      <w:r w:rsidR="00546594">
        <w:t>o</w:t>
      </w:r>
      <w:r>
        <w:t xml:space="preserve"> occupa</w:t>
      </w:r>
      <w:r w:rsidR="00546594">
        <w:t xml:space="preserve"> suolo</w:t>
      </w:r>
      <w:r>
        <w:t xml:space="preserve"> sulla base rispettivamente di una autorizzazione </w:t>
      </w:r>
      <w:r w:rsidR="00546594">
        <w:t>o</w:t>
      </w:r>
      <w:r>
        <w:t xml:space="preserve"> di una concessione, e ciò che invece rientra nel presupposto applicativo senza un regolare titolo amministrativo o con un titolo scaduto.</w:t>
      </w:r>
      <w:r w:rsidR="00842B83">
        <w:t xml:space="preserve"> Situazioni che</w:t>
      </w:r>
      <w:r w:rsidR="00156AEE">
        <w:t>, come sappiamo,</w:t>
      </w:r>
      <w:r w:rsidR="00842B83">
        <w:t xml:space="preserve"> dovrebbero </w:t>
      </w:r>
      <w:r w:rsidR="00564DAF">
        <w:t xml:space="preserve">peraltro </w:t>
      </w:r>
      <w:r w:rsidR="00842B83">
        <w:t xml:space="preserve">portare ad una quantificazione diversa </w:t>
      </w:r>
      <w:r w:rsidR="00564DAF">
        <w:t>del</w:t>
      </w:r>
      <w:r w:rsidR="00842B83">
        <w:t xml:space="preserve"> canone e d</w:t>
      </w:r>
      <w:r w:rsidR="00564DAF">
        <w:t>ella</w:t>
      </w:r>
      <w:r w:rsidR="00842B83">
        <w:t xml:space="preserve"> indennità.</w:t>
      </w:r>
      <w:r w:rsidR="00156AEE">
        <w:t xml:space="preserve"> </w:t>
      </w:r>
      <w:r w:rsidR="00842B83">
        <w:t xml:space="preserve">La lettera G del comma 821 della Legge 160/2019 </w:t>
      </w:r>
      <w:r w:rsidR="00156AEE">
        <w:t xml:space="preserve">infatti </w:t>
      </w:r>
      <w:r w:rsidR="00842B83">
        <w:t xml:space="preserve">prevede: </w:t>
      </w:r>
      <w:r w:rsidR="00564DAF" w:rsidRPr="00564DAF">
        <w:rPr>
          <w:i/>
          <w:iCs/>
        </w:rPr>
        <w:t>“</w:t>
      </w:r>
      <w:r w:rsidR="00564DAF" w:rsidRPr="00564DAF">
        <w:rPr>
          <w:i/>
          <w:iCs/>
        </w:rPr>
        <w:t>g) per le occupazioni e la diffusione di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messaggi pubblicitari realizzate abusivamente,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la previsione di un’indennità pari al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canone maggiorato fino al 50 per cento,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considerando permanenti le occupazioni e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la diffusione di messaggi pubblicitari realizzate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con impianti o manufatti di carattere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stabile e presumendo come temporanee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le occupazioni e la diffusione di messaggi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pubblicitari effettuate dal trentesimo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giorno antecedente la data del verbale di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accertamento, redatto da competente pubblico</w:t>
      </w:r>
      <w:r w:rsidR="00564DAF" w:rsidRPr="00564DAF">
        <w:rPr>
          <w:i/>
          <w:iCs/>
        </w:rPr>
        <w:t xml:space="preserve"> </w:t>
      </w:r>
      <w:r w:rsidR="00564DAF" w:rsidRPr="00564DAF">
        <w:rPr>
          <w:i/>
          <w:iCs/>
        </w:rPr>
        <w:t>ufficiale;</w:t>
      </w:r>
      <w:r w:rsidR="00564DAF" w:rsidRPr="00564DAF">
        <w:rPr>
          <w:i/>
          <w:iCs/>
        </w:rPr>
        <w:t>”</w:t>
      </w:r>
    </w:p>
    <w:p w14:paraId="2EF67F56" w14:textId="55CDD61F" w:rsidR="00E21FE2" w:rsidRPr="00E21FE2" w:rsidRDefault="00E21FE2" w:rsidP="00156AEE">
      <w:pPr>
        <w:jc w:val="both"/>
      </w:pPr>
      <w:r>
        <w:t xml:space="preserve">Una differenziazione del calcolo che non può essere </w:t>
      </w:r>
      <w:r w:rsidR="00156AEE">
        <w:t>ignorata</w:t>
      </w:r>
      <w:r>
        <w:t>. Non è possibile</w:t>
      </w:r>
      <w:r w:rsidR="00156AEE">
        <w:t xml:space="preserve"> continuare a chiedere il pagamento del canone per occupazioni e esposizioni pubblicitarie senza un titolo amministrativo valido. Eppure si continua a farlo, come se </w:t>
      </w:r>
      <w:r w:rsidR="00585BF9">
        <w:t>nulla</w:t>
      </w:r>
      <w:r w:rsidR="00156AEE">
        <w:t xml:space="preserve"> fosse cambiato rispetto ai precedenti prelievi.</w:t>
      </w:r>
      <w:r>
        <w:t xml:space="preserve"> </w:t>
      </w:r>
    </w:p>
    <w:p w14:paraId="566D8A6A" w14:textId="1AC41763" w:rsidR="00BC1787" w:rsidRDefault="00BC1787" w:rsidP="00BC1787">
      <w:pPr>
        <w:jc w:val="both"/>
      </w:pPr>
      <w:r>
        <w:t xml:space="preserve">La principale criticità alla base di questa mancata svolta nella gestione del prelievo dedicato alle occupazioni di suolo pubblico e alle esposizioni pubblicitarie è sicuramente rappresentata dall'inadeguatezza delle banche dati. Problematica emersa fin dai primi mesi di regime CUP e che, nella maggior parte dei casi, ritroviamo ancora intatta a distanza di quattro anni. </w:t>
      </w:r>
    </w:p>
    <w:p w14:paraId="4363EC35" w14:textId="3C2B1277" w:rsidR="00BC1787" w:rsidRDefault="00BC1787" w:rsidP="00BC1787">
      <w:pPr>
        <w:jc w:val="both"/>
      </w:pPr>
      <w:r>
        <w:t xml:space="preserve">La mera migrazione dei dati dai precedenti prelievi non poteva e non può ritenersi esaustiva nel nuovo contesto normativo. Salvo poche eccezioni non si è dato seguito alla richiesta sincronizzazione delle posizioni soggette a canone con le rispettive concessioni e autorizzazioni. Diverse occupazioni di suolo pubblico e molte, probabilmente la maggior parte, delle esposizioni pubblicitarie, hanno il titolo amministrativo scaduto o non l'hanno mai ottenuto. Situazione figlia di una gestione dei prelievi precedenti quando gli uffici comunali e i concessionari erano concentrati solo sul presupposto tributario e spedivano annualmente le richieste di pagamento senza richiamare il titolo autorizzatorio, e senza condizionarne l'invio. </w:t>
      </w:r>
    </w:p>
    <w:p w14:paraId="6EC4CEDB" w14:textId="5BD854DB" w:rsidR="000365F4" w:rsidRDefault="00BC1787" w:rsidP="00BC1787">
      <w:pPr>
        <w:jc w:val="both"/>
      </w:pPr>
      <w:r>
        <w:t>Ancora oggi, e tutto lascia presagire che sarà così anche per il prossimo futuro, assistiamo a situazioni in cui occupazioni ed esposizioni pubblicitarie hanno concessioni ed autorizzazioni scadute nel loro periodo originario e che proseguono regolarmente ad insistere sul territorio comunale con il solo pagamento del Canone Unico, in una sorta di legittimazione a continuare a occupare o a esporre oltre il termine autorizzato.</w:t>
      </w:r>
    </w:p>
    <w:p w14:paraId="306831CB" w14:textId="23D352AC" w:rsidR="00BC1787" w:rsidRPr="00BC1787" w:rsidRDefault="00BC1787" w:rsidP="00BC1787">
      <w:pPr>
        <w:jc w:val="both"/>
      </w:pPr>
      <w:r w:rsidRPr="00BC1787">
        <w:t>Il legislatore correttamente ha previsto una svolta epocale nella gestione dei cosiddetti tributi minori, legando indissolubilmente le due fasi, amministrativa e di riscossione del canone. Oggettivamente, al lato pratico, non è stato facile l’adeguamento alle novità. Serve certamente tempo e organizzazione, probabilmente occorreranno anni, per ricucire questo rapporto necessario tra il rilascio delle concessioni e la gestione dell’entrata. È facile affermare come su questo tema la maggior parte degli Enti locali sia</w:t>
      </w:r>
      <w:r w:rsidR="00F03AEF">
        <w:t>no</w:t>
      </w:r>
      <w:r w:rsidRPr="00BC1787">
        <w:t xml:space="preserve"> </w:t>
      </w:r>
      <w:r w:rsidR="00F03AEF">
        <w:t xml:space="preserve">tuttavia </w:t>
      </w:r>
      <w:r w:rsidRPr="00BC1787">
        <w:t xml:space="preserve">ancora fermi al 1° gennaio 2021. </w:t>
      </w:r>
    </w:p>
    <w:p w14:paraId="4309D5AC" w14:textId="284AFC2F" w:rsidR="00BC1787" w:rsidRDefault="00BC1787" w:rsidP="00BC1787">
      <w:pPr>
        <w:jc w:val="both"/>
      </w:pPr>
      <w:r w:rsidRPr="00BC1787">
        <w:lastRenderedPageBreak/>
        <w:t>Pochi sono infatti i Comuni virtuosi che hanno avviato un processo di aggiornamento delle procedure, pochi gli uffici già organizzati con sinergie tra settori diversi e sistemi informatici aggiornati e in grado di garantire il corretto iter richiesto con il nuovo canone.</w:t>
      </w:r>
    </w:p>
    <w:p w14:paraId="7315873D" w14:textId="52DA3CAB" w:rsidR="00BC1787" w:rsidRDefault="00BC1787" w:rsidP="00BC1787">
      <w:pPr>
        <w:jc w:val="both"/>
      </w:pPr>
      <w:r>
        <w:t>In questi ultimi anni, u</w:t>
      </w:r>
      <w:r w:rsidRPr="00BC1787">
        <w:t xml:space="preserve">n certo tipo di organizzazione e rinnovamento nella gestione dei mezzi pubblicitari e delle occupazioni di suolo pubblico assoggettati al canone, è </w:t>
      </w:r>
      <w:r>
        <w:t>stato intrapreso</w:t>
      </w:r>
      <w:r w:rsidRPr="00BC1787">
        <w:t xml:space="preserve"> dai comuni di maggiori dimensioni, </w:t>
      </w:r>
      <w:r w:rsidR="005C675D">
        <w:t>grazie al</w:t>
      </w:r>
      <w:r w:rsidRPr="00BC1787">
        <w:t>le adeguate risorse finanziarie e di personale che possono mettere in gioco</w:t>
      </w:r>
      <w:r w:rsidR="00A66DD6">
        <w:t>,</w:t>
      </w:r>
      <w:r w:rsidR="00F03AEF">
        <w:t xml:space="preserve"> </w:t>
      </w:r>
      <w:r w:rsidR="00A66DD6">
        <w:t>tuttavia,</w:t>
      </w:r>
      <w:r w:rsidRPr="00BC1787">
        <w:t xml:space="preserve"> nella stragrande maggioranza degli enti </w:t>
      </w:r>
      <w:r w:rsidR="00F03AEF">
        <w:t xml:space="preserve">locali </w:t>
      </w:r>
      <w:r w:rsidRPr="00BC1787">
        <w:t>italiani</w:t>
      </w:r>
      <w:r>
        <w:t>, per lo più di piccole dimensioni e con scarse disponibilità di forza lavoro e finanziarie,</w:t>
      </w:r>
      <w:r w:rsidRPr="00BC1787">
        <w:t xml:space="preserve"> si proseguirà con una gestione deficitaria ben distante dagli intenti del </w:t>
      </w:r>
      <w:r w:rsidR="00A66DD6">
        <w:t>L</w:t>
      </w:r>
      <w:r w:rsidRPr="00BC1787">
        <w:t>egislatore che ha visto nel canone un’arma per riorganizzare</w:t>
      </w:r>
      <w:r>
        <w:t xml:space="preserve"> concretamente gli</w:t>
      </w:r>
      <w:r w:rsidRPr="00BC1787">
        <w:t xml:space="preserve"> impianti pubblicitari e</w:t>
      </w:r>
      <w:r>
        <w:t xml:space="preserve"> le </w:t>
      </w:r>
      <w:r w:rsidRPr="00BC1787">
        <w:t xml:space="preserve"> occupazioni di suolo pubblico, in considerazione del</w:t>
      </w:r>
      <w:r>
        <w:t xml:space="preserve"> loro </w:t>
      </w:r>
      <w:r w:rsidRPr="00BC1787">
        <w:t xml:space="preserve">impatto </w:t>
      </w:r>
      <w:r>
        <w:t>sul territorio</w:t>
      </w:r>
      <w:r w:rsidR="00A66DD6">
        <w:t xml:space="preserve"> gestito</w:t>
      </w:r>
      <w:r>
        <w:t>.</w:t>
      </w:r>
    </w:p>
    <w:sectPr w:rsidR="00BC17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le Serif Text">
    <w:altName w:val="Sole Serif Tex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B5"/>
    <w:rsid w:val="000365F4"/>
    <w:rsid w:val="00060149"/>
    <w:rsid w:val="00156AEE"/>
    <w:rsid w:val="00546594"/>
    <w:rsid w:val="00564DAF"/>
    <w:rsid w:val="00585BF9"/>
    <w:rsid w:val="005C675D"/>
    <w:rsid w:val="007B1496"/>
    <w:rsid w:val="0083201D"/>
    <w:rsid w:val="00842B83"/>
    <w:rsid w:val="008F7720"/>
    <w:rsid w:val="009C2FD5"/>
    <w:rsid w:val="00A66DD6"/>
    <w:rsid w:val="00A7398E"/>
    <w:rsid w:val="00AD6AC5"/>
    <w:rsid w:val="00BC1787"/>
    <w:rsid w:val="00D716CE"/>
    <w:rsid w:val="00E21FE2"/>
    <w:rsid w:val="00F03AEF"/>
    <w:rsid w:val="00F05C09"/>
    <w:rsid w:val="00F133B5"/>
    <w:rsid w:val="00F5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B131"/>
  <w15:chartTrackingRefBased/>
  <w15:docId w15:val="{80B3CF60-5275-4EDF-A6B2-E5AC5762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3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33B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33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33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33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33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33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33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33B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33B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33B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C1787"/>
    <w:pPr>
      <w:autoSpaceDE w:val="0"/>
      <w:autoSpaceDN w:val="0"/>
      <w:adjustRightInd w:val="0"/>
      <w:spacing w:after="0" w:line="240" w:lineRule="auto"/>
    </w:pPr>
    <w:rPr>
      <w:rFonts w:ascii="Sole Serif Text" w:hAnsi="Sole Serif Text" w:cs="Sole Serif Text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10</cp:revision>
  <dcterms:created xsi:type="dcterms:W3CDTF">2025-02-06T09:16:00Z</dcterms:created>
  <dcterms:modified xsi:type="dcterms:W3CDTF">2025-04-07T10:59:00Z</dcterms:modified>
</cp:coreProperties>
</file>