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474F" w14:textId="7D877FCB" w:rsidR="00060149" w:rsidRDefault="000B30F3">
      <w:r>
        <w:t xml:space="preserve">Titolo: Non sono </w:t>
      </w:r>
      <w:r w:rsidRPr="000B30F3">
        <w:t>esenti i messaggi affissi sui carrelli della spesa nei supermercati</w:t>
      </w:r>
    </w:p>
    <w:p w14:paraId="3CFB962E" w14:textId="3ABB290E" w:rsidR="000B30F3" w:rsidRDefault="000B30F3">
      <w:r>
        <w:t>di Alessandro Merciari</w:t>
      </w:r>
    </w:p>
    <w:p w14:paraId="09D3847D" w14:textId="3A2B23FC" w:rsidR="000B30F3" w:rsidRDefault="000B7ABD" w:rsidP="000B30F3">
      <w:pPr>
        <w:jc w:val="both"/>
      </w:pPr>
      <w:r>
        <w:t xml:space="preserve">Interessante ordinanza della Corte di Cassazione Civile, sezione 5 numero 20831 pubblicata lo scorso 23 luglio 2025, che riprende un orientamento oramai consolidato che vede la pubblicità affissa sui carrelli dei supermercati come fattispecie attratta nel prelievo dedicato alle diffusioni pubblicitarie. </w:t>
      </w:r>
    </w:p>
    <w:p w14:paraId="0262842D" w14:textId="5AD073C3" w:rsidR="000B7ABD" w:rsidRDefault="000B7ABD" w:rsidP="000B30F3">
      <w:pPr>
        <w:jc w:val="both"/>
      </w:pPr>
      <w:r>
        <w:t>Con l’avvento del Canone Unico, come noto, si è andati sostanzialmente in continuità con le discipline e con i presupposti dei prelievi precedenti, così che quanto stabilito</w:t>
      </w:r>
      <w:r w:rsidR="0009648C">
        <w:t xml:space="preserve"> e deciso</w:t>
      </w:r>
      <w:r>
        <w:t xml:space="preserve"> in materia di Imposta Comunale sulla Pubblicità, può legittimamente essere replicato in materia di CUP.</w:t>
      </w:r>
    </w:p>
    <w:p w14:paraId="16E36E30" w14:textId="52AD5F0B" w:rsidR="000B30F3" w:rsidRPr="000B30F3" w:rsidRDefault="000B7ABD" w:rsidP="000B30F3">
      <w:pPr>
        <w:jc w:val="both"/>
      </w:pPr>
      <w:r>
        <w:t xml:space="preserve">Già in passato la Cassazione si era espressa circa l’applicazione dell’ICP a questa forma reclamistica, con la </w:t>
      </w:r>
      <w:r w:rsidR="000B30F3" w:rsidRPr="000B30F3">
        <w:t>sentenza n.10095</w:t>
      </w:r>
      <w:r>
        <w:t xml:space="preserve"> del 2021</w:t>
      </w:r>
      <w:r w:rsidR="0009648C">
        <w:t xml:space="preserve"> nella quale</w:t>
      </w:r>
      <w:r>
        <w:t xml:space="preserve"> </w:t>
      </w:r>
      <w:r w:rsidR="000B30F3" w:rsidRPr="000B30F3">
        <w:t>i giudici di legittimità</w:t>
      </w:r>
      <w:r w:rsidR="000B30F3">
        <w:t xml:space="preserve"> </w:t>
      </w:r>
      <w:r>
        <w:t>avevano</w:t>
      </w:r>
      <w:r w:rsidR="000B30F3" w:rsidRPr="000B30F3">
        <w:t xml:space="preserve"> dipanando due importanti questioni collegate tra loro. La prima</w:t>
      </w:r>
      <w:r w:rsidR="000B30F3">
        <w:t xml:space="preserve"> </w:t>
      </w:r>
      <w:r w:rsidR="000B30F3" w:rsidRPr="000B30F3">
        <w:t>riferita all'efficacia reclamistica dei messaggi riportati sui carrelli di un supermercato, la seconda</w:t>
      </w:r>
      <w:r w:rsidR="000B30F3">
        <w:t xml:space="preserve"> </w:t>
      </w:r>
      <w:r w:rsidR="000B30F3" w:rsidRPr="000B30F3">
        <w:t xml:space="preserve">invece legata </w:t>
      </w:r>
      <w:r>
        <w:t xml:space="preserve">ai mezzi </w:t>
      </w:r>
      <w:r w:rsidR="000B30F3" w:rsidRPr="000B30F3">
        <w:t>pubblicitari esposti in un luogo privato aperto al pubblico.</w:t>
      </w:r>
    </w:p>
    <w:p w14:paraId="0C9E7F53" w14:textId="37577A3C" w:rsidR="000B30F3" w:rsidRPr="000B30F3" w:rsidRDefault="000B7ABD" w:rsidP="000B30F3">
      <w:pPr>
        <w:jc w:val="both"/>
      </w:pPr>
      <w:r>
        <w:t>Venne già allora</w:t>
      </w:r>
      <w:r w:rsidR="000B30F3" w:rsidRPr="000B30F3">
        <w:t xml:space="preserve"> infatti richiamata una condizione fondamentale di applicabilità dell'entrata, ovvero il realizzarsi</w:t>
      </w:r>
      <w:r w:rsidR="000B30F3">
        <w:t xml:space="preserve"> </w:t>
      </w:r>
      <w:r w:rsidR="000B30F3" w:rsidRPr="000B30F3">
        <w:t>del presupposto grazie all'astratta possibilità che il messaggio, in rapporto all'ubicazione del mezzo,</w:t>
      </w:r>
      <w:r w:rsidR="000B30F3">
        <w:t xml:space="preserve"> </w:t>
      </w:r>
      <w:r>
        <w:t>potesse</w:t>
      </w:r>
      <w:r w:rsidR="000B30F3" w:rsidRPr="000B30F3">
        <w:t xml:space="preserve"> raggiungere un numero indeterminato di destinatari. Il fatto, quindi, che i carrelli recanti</w:t>
      </w:r>
      <w:r w:rsidR="000B30F3">
        <w:t xml:space="preserve"> </w:t>
      </w:r>
      <w:r w:rsidR="000B30F3" w:rsidRPr="000B30F3">
        <w:t>pannelli pubblicizzanti un bene in vendita all'interno del supermercato circolino anche all'esterno, sia</w:t>
      </w:r>
      <w:r w:rsidR="000B30F3">
        <w:t xml:space="preserve"> </w:t>
      </w:r>
      <w:r w:rsidR="000B30F3" w:rsidRPr="000B30F3">
        <w:t>nella galleria del centro commerciale dove sono presenti altri negozi, sia nel parcheggio di</w:t>
      </w:r>
      <w:r w:rsidR="000B30F3">
        <w:t xml:space="preserve"> </w:t>
      </w:r>
      <w:r w:rsidR="000B30F3" w:rsidRPr="000B30F3">
        <w:t>pertinenza, fa sì che si realizzi sempre il presupposto applicativo in quanto potenzialmente visibili</w:t>
      </w:r>
      <w:r w:rsidR="000B30F3">
        <w:t xml:space="preserve"> </w:t>
      </w:r>
      <w:r w:rsidR="000B30F3" w:rsidRPr="000B30F3">
        <w:t>anche a una platea di persone non necessariamente intenzionata a fare acquisti presso il</w:t>
      </w:r>
      <w:r w:rsidR="000B30F3">
        <w:t xml:space="preserve"> </w:t>
      </w:r>
      <w:r w:rsidR="000B30F3" w:rsidRPr="000B30F3">
        <w:t>supermercato.</w:t>
      </w:r>
    </w:p>
    <w:p w14:paraId="7A355E7D" w14:textId="48463D1F" w:rsidR="000B30F3" w:rsidRDefault="000B7ABD" w:rsidP="000B30F3">
      <w:pPr>
        <w:jc w:val="both"/>
      </w:pPr>
      <w:r>
        <w:t xml:space="preserve">Concetti </w:t>
      </w:r>
      <w:r w:rsidR="0009648C">
        <w:t xml:space="preserve">perfettamente </w:t>
      </w:r>
      <w:r>
        <w:t xml:space="preserve">ripresi nell’ordinanza </w:t>
      </w:r>
      <w:r w:rsidR="0009648C">
        <w:t xml:space="preserve">in commento </w:t>
      </w:r>
      <w:r>
        <w:t>dove si legge:</w:t>
      </w:r>
    </w:p>
    <w:p w14:paraId="4C01A324" w14:textId="4BBE7FF1" w:rsidR="000B7ABD" w:rsidRDefault="000B7ABD" w:rsidP="000B30F3">
      <w:pPr>
        <w:jc w:val="both"/>
        <w:rPr>
          <w:i/>
          <w:iCs/>
        </w:rPr>
      </w:pPr>
      <w:r w:rsidRPr="000B7ABD">
        <w:rPr>
          <w:i/>
          <w:iCs/>
        </w:rPr>
        <w:t>“</w:t>
      </w:r>
      <w:r w:rsidRPr="000B7ABD">
        <w:rPr>
          <w:i/>
          <w:iCs/>
        </w:rPr>
        <w:t>Proprio in questo senso è indirizzata la giurisprudenza di questa Corte, secondo la quale “In tema d’imposta sulla pubblicità, il presupposto dell'imponibilità va ricercato nell'astratta possibilità del messaggio pubblicitario, in rapporto all'ubicazione del mezzo, di avere un numero indeterminato di destinatari, divenuti tali per il solo fatto di trovarsi in quel luogo, sicché, ai fini dell'applicazione dell'imposta, costituisce luogo aperto al pubblico quello accessibile, sia pure nel rispetto di alcune condizioni, a chiunque si adegui al regolamento che disciplina l'ingresso” (In applicazione di tale principio, la S.C. ha ritenuto luogo aperto al pubblico un centro commerciale accessibile a tutti i soggetti abilitati alle transazioni svolte al suo interno). (Cass. Sez. 5, 15/03/2017, n. 6714, richiamata dalla stessa sentenza impugnata).</w:t>
      </w:r>
      <w:r w:rsidRPr="000B7ABD">
        <w:rPr>
          <w:i/>
          <w:iCs/>
        </w:rPr>
        <w:t>”</w:t>
      </w:r>
    </w:p>
    <w:p w14:paraId="13A472E3" w14:textId="295A5DC1" w:rsidR="008B3FB9" w:rsidRDefault="008B3FB9" w:rsidP="000B30F3">
      <w:pPr>
        <w:jc w:val="both"/>
      </w:pPr>
      <w:r>
        <w:t xml:space="preserve">I giudici nell’analizzare i tre motivi di doglianza si esprimono anche sul concetto di mera occasionalità e brevità della percezione del messaggio pubblicitario, concetto non previsto nell’ambito della disciplina dell’abrogata ICP </w:t>
      </w:r>
      <w:r w:rsidR="0009648C">
        <w:t>né</w:t>
      </w:r>
      <w:r>
        <w:t xml:space="preserve"> nell’attuale CUP:</w:t>
      </w:r>
    </w:p>
    <w:p w14:paraId="050982D0" w14:textId="32F53AD7" w:rsidR="008B3FB9" w:rsidRDefault="008B3FB9" w:rsidP="000B30F3">
      <w:pPr>
        <w:jc w:val="both"/>
        <w:rPr>
          <w:i/>
          <w:iCs/>
        </w:rPr>
      </w:pPr>
      <w:r w:rsidRPr="008B3FB9">
        <w:rPr>
          <w:i/>
          <w:iCs/>
        </w:rPr>
        <w:t>“</w:t>
      </w:r>
      <w:r w:rsidRPr="008B3FB9">
        <w:rPr>
          <w:i/>
          <w:iCs/>
        </w:rPr>
        <w:t>A queste considerazioni deve aggiungersi, in risposta alle contestazioni sulla mera occasionalità e brevità della percezione del messaggio pubblicitario da parte dei destinatari, che dovrebbero condurre all’applicazione dell’esenzione di cui all’art. 17, comma 1 lett. a) cit. che il presupposto dell’assoggettamento all’imposta del messaggio pubblicitario non è ancorato alla ‘durata’ soggettiva della percezione del pubblico del messaggio veicolato attraverso la forma comunicativa prescelta, che ovviamente può variare in modo consistente, a seconda dell’attenzione e dell’interesse di chi lo guarda, ma alla sua capacità diffusiva di richiamo dell’attenzione del pubblico sul prodotto o sul servizio reclamizzato, come potenzialmente idoneo a incrementare il risultato positivo dell'attività commerciale del contribuente, in quanto strettamente correlato a un vantaggio immediato e diretto dell'imprenditore beneficiario, rispetto alla risonanza del messaggio pubblicitario nella platea dei consumatori destinatari.</w:t>
      </w:r>
      <w:r w:rsidRPr="008B3FB9">
        <w:rPr>
          <w:i/>
          <w:iCs/>
        </w:rPr>
        <w:t>”</w:t>
      </w:r>
    </w:p>
    <w:p w14:paraId="4348D84B" w14:textId="1DB6835C" w:rsidR="008B3FB9" w:rsidRDefault="008B3FB9" w:rsidP="000B30F3">
      <w:pPr>
        <w:jc w:val="both"/>
      </w:pPr>
      <w:r>
        <w:t xml:space="preserve">Nel contenzioso approdato in Cassazione, l’unico motivo che ha trovato accoglimento è relativo, non certo al presupposto applicativo dell’entrata che come detto si realizza perfettamente, ma al riconoscimento dello </w:t>
      </w:r>
      <w:r>
        <w:lastRenderedPageBreak/>
        <w:t xml:space="preserve">sgravio delle sanzioni applicate, valutando le obiettive condizioni di incertezza causate dall’affidamento della ricorrente ad alcune Risoluzioni ministeriali dei primi anni Ottanta </w:t>
      </w:r>
      <w:r w:rsidRPr="008B3FB9">
        <w:t>ed alla risoluzione n. 48696 del 23 dicembre 2014</w:t>
      </w:r>
      <w:r>
        <w:t>.</w:t>
      </w:r>
    </w:p>
    <w:p w14:paraId="331D4603" w14:textId="3747AA78" w:rsidR="008B3FB9" w:rsidRDefault="008B3FB9" w:rsidP="000B30F3">
      <w:pPr>
        <w:jc w:val="both"/>
      </w:pPr>
      <w:r>
        <w:t>A questo proposito si legge nella sentenza:</w:t>
      </w:r>
    </w:p>
    <w:p w14:paraId="2E6A925C" w14:textId="392C68F0" w:rsidR="008B3FB9" w:rsidRDefault="008B3FB9" w:rsidP="000B30F3">
      <w:pPr>
        <w:jc w:val="both"/>
        <w:rPr>
          <w:i/>
          <w:iCs/>
        </w:rPr>
      </w:pPr>
      <w:r w:rsidRPr="008B3FB9">
        <w:rPr>
          <w:i/>
          <w:iCs/>
        </w:rPr>
        <w:t>“</w:t>
      </w:r>
      <w:r w:rsidRPr="008B3FB9">
        <w:rPr>
          <w:i/>
          <w:iCs/>
        </w:rPr>
        <w:t>Secondo la giurisprudenza di legittimità le circolari ministeriali in materia tributaria non costituiscono fonte di diritti e obblighi, sicché, ove il contribuente si sia conformato a un’interpretazione erronea fornita dall’Amministrazione finanziaria, non è esonerato dall’adempimento dell’obbligazione tributaria, essendo esclusa soltanto l’irrogazione delle relative sanzioni e degli interessi, in base al principio di tutela dell’affidamento, espressamente sancito dall’art. 10, comma 2, della l. n. 212 del 2000 (Cass., Sez. 5 del 30/09/2020, n. 20819; Cass., Sez. 5, del 11/07/2019, n. 18618; Cass., Sez. 5, del 18/05/2016, n. 10195).</w:t>
      </w:r>
      <w:r w:rsidRPr="008B3FB9">
        <w:rPr>
          <w:i/>
          <w:iCs/>
        </w:rPr>
        <w:t>”</w:t>
      </w:r>
    </w:p>
    <w:p w14:paraId="7E9DDCE9" w14:textId="3159A0C8" w:rsidR="008B3FB9" w:rsidRPr="008B3FB9" w:rsidRDefault="008B3FB9" w:rsidP="000B30F3">
      <w:pPr>
        <w:jc w:val="both"/>
      </w:pPr>
      <w:r>
        <w:t xml:space="preserve">In definitiva </w:t>
      </w:r>
      <w:r w:rsidR="0009648C">
        <w:t>è importante confermare come si realizzi i</w:t>
      </w:r>
      <w:r>
        <w:t xml:space="preserve">l presupposto CUP per la sua componente pubblicitaria per le iniziative </w:t>
      </w:r>
      <w:r w:rsidR="0009648C">
        <w:t xml:space="preserve">reclamistiche </w:t>
      </w:r>
      <w:r>
        <w:t xml:space="preserve">presenti sui carrelli del supermercato che a questo punto non potranno godere </w:t>
      </w:r>
      <w:r w:rsidR="0009648C">
        <w:t xml:space="preserve">in nessun caso </w:t>
      </w:r>
      <w:r>
        <w:t>dell</w:t>
      </w:r>
      <w:r w:rsidR="0009648C">
        <w:t>e ipotesi di esclusione o esenzione stabilite dal legislatore.</w:t>
      </w:r>
    </w:p>
    <w:sectPr w:rsidR="008B3FB9" w:rsidRPr="008B3FB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46"/>
    <w:rsid w:val="00060149"/>
    <w:rsid w:val="0009648C"/>
    <w:rsid w:val="000B30F3"/>
    <w:rsid w:val="000B7ABD"/>
    <w:rsid w:val="00335346"/>
    <w:rsid w:val="007B1496"/>
    <w:rsid w:val="008B3FB9"/>
    <w:rsid w:val="00E314D1"/>
    <w:rsid w:val="00F342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9B44A"/>
  <w15:chartTrackingRefBased/>
  <w15:docId w15:val="{C7B0EBC1-6A1D-4F46-941D-45179D77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35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35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3534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3534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3534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3534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3534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3534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3534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3534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3534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3534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3534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3534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3534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3534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3534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35346"/>
    <w:rPr>
      <w:rFonts w:eastAsiaTheme="majorEastAsia" w:cstheme="majorBidi"/>
      <w:color w:val="272727" w:themeColor="text1" w:themeTint="D8"/>
    </w:rPr>
  </w:style>
  <w:style w:type="paragraph" w:styleId="Titolo">
    <w:name w:val="Title"/>
    <w:basedOn w:val="Normale"/>
    <w:next w:val="Normale"/>
    <w:link w:val="TitoloCarattere"/>
    <w:uiPriority w:val="10"/>
    <w:qFormat/>
    <w:rsid w:val="00335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3534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3534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3534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3534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35346"/>
    <w:rPr>
      <w:i/>
      <w:iCs/>
      <w:color w:val="404040" w:themeColor="text1" w:themeTint="BF"/>
    </w:rPr>
  </w:style>
  <w:style w:type="paragraph" w:styleId="Paragrafoelenco">
    <w:name w:val="List Paragraph"/>
    <w:basedOn w:val="Normale"/>
    <w:uiPriority w:val="34"/>
    <w:qFormat/>
    <w:rsid w:val="00335346"/>
    <w:pPr>
      <w:ind w:left="720"/>
      <w:contextualSpacing/>
    </w:pPr>
  </w:style>
  <w:style w:type="character" w:styleId="Enfasiintensa">
    <w:name w:val="Intense Emphasis"/>
    <w:basedOn w:val="Carpredefinitoparagrafo"/>
    <w:uiPriority w:val="21"/>
    <w:qFormat/>
    <w:rsid w:val="00335346"/>
    <w:rPr>
      <w:i/>
      <w:iCs/>
      <w:color w:val="2F5496" w:themeColor="accent1" w:themeShade="BF"/>
    </w:rPr>
  </w:style>
  <w:style w:type="paragraph" w:styleId="Citazioneintensa">
    <w:name w:val="Intense Quote"/>
    <w:basedOn w:val="Normale"/>
    <w:next w:val="Normale"/>
    <w:link w:val="CitazioneintensaCarattere"/>
    <w:uiPriority w:val="30"/>
    <w:qFormat/>
    <w:rsid w:val="00335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35346"/>
    <w:rPr>
      <w:i/>
      <w:iCs/>
      <w:color w:val="2F5496" w:themeColor="accent1" w:themeShade="BF"/>
    </w:rPr>
  </w:style>
  <w:style w:type="character" w:styleId="Riferimentointenso">
    <w:name w:val="Intense Reference"/>
    <w:basedOn w:val="Carpredefinitoparagrafo"/>
    <w:uiPriority w:val="32"/>
    <w:qFormat/>
    <w:rsid w:val="003353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820</Words>
  <Characters>4677</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2025-10-01T13:55:00Z</dcterms:created>
  <dcterms:modified xsi:type="dcterms:W3CDTF">2025-10-01T14:23:00Z</dcterms:modified>
</cp:coreProperties>
</file>