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E73F" w14:textId="798B7D0C" w:rsidR="00060149" w:rsidRDefault="00D821C8">
      <w:r>
        <w:t xml:space="preserve">Titolo: sulla tariffa CUP </w:t>
      </w:r>
      <w:r w:rsidR="001C7D12">
        <w:t>“</w:t>
      </w:r>
      <w:r>
        <w:t>Antenne</w:t>
      </w:r>
      <w:r w:rsidR="001C7D12">
        <w:t xml:space="preserve">” </w:t>
      </w:r>
      <w:r>
        <w:t>interviene il Consiglio di Stato</w:t>
      </w:r>
    </w:p>
    <w:p w14:paraId="3AE099DE" w14:textId="30433B77" w:rsidR="00D821C8" w:rsidRDefault="004D1CB8" w:rsidP="001C7D12">
      <w:pPr>
        <w:jc w:val="both"/>
      </w:pPr>
      <w:r>
        <w:t>La Sezione Prima del Consiglio di Stato, nell’adunanza del 5 luglio scorso</w:t>
      </w:r>
      <w:r w:rsidR="001C7D12">
        <w:t>, rilascia un parere attinente al trattamento tariffario da applicare alle occupazioni di suolo pubblico realizzate con antenne e ripetitori.</w:t>
      </w:r>
    </w:p>
    <w:p w14:paraId="3272F809" w14:textId="1CD46ED0" w:rsidR="001C7D12" w:rsidRDefault="001C7D12" w:rsidP="001C7D12">
      <w:pPr>
        <w:jc w:val="both"/>
      </w:pPr>
      <w:r>
        <w:t xml:space="preserve">Uno dei temi più controversi della disciplina del nuovo Canone Unico, al pari delle occupazioni realizzate dalle aziende che erogano servizi pubblici, quello delle </w:t>
      </w:r>
      <w:r w:rsidR="00E94032">
        <w:t>antenne,</w:t>
      </w:r>
      <w:r>
        <w:t xml:space="preserve"> costituisce una tematica ancora molto discussa e tutt’altro che definita.</w:t>
      </w:r>
    </w:p>
    <w:p w14:paraId="2092D07A" w14:textId="3961AB1C" w:rsidR="001C7D12" w:rsidRDefault="001C7D12" w:rsidP="001C7D12">
      <w:pPr>
        <w:jc w:val="both"/>
      </w:pPr>
      <w:r>
        <w:t xml:space="preserve">L’originale </w:t>
      </w:r>
      <w:r>
        <w:t xml:space="preserve">disciplina del </w:t>
      </w:r>
      <w:r>
        <w:t>Canone Unico Patrimoniale, ha visto una modifica da parte del Legislatore con l’introduzione</w:t>
      </w:r>
      <w:r>
        <w:t xml:space="preserve"> </w:t>
      </w:r>
      <w:r w:rsidR="000708A2">
        <w:t xml:space="preserve">all’articolo 1 della Legge 160/2019, </w:t>
      </w:r>
      <w:r>
        <w:t>del comma 831-</w:t>
      </w:r>
      <w:r w:rsidRPr="001C7D12">
        <w:t>bis</w:t>
      </w:r>
      <w:r w:rsidRPr="001C7D12">
        <w:t xml:space="preserve">, </w:t>
      </w:r>
      <w:r>
        <w:t xml:space="preserve">resosi necessario </w:t>
      </w:r>
      <w:r w:rsidRPr="001C7D12">
        <w:t xml:space="preserve">per disciplinare il trattamento </w:t>
      </w:r>
      <w:r>
        <w:t>delle</w:t>
      </w:r>
      <w:r>
        <w:t xml:space="preserve"> infrastrutture di telecomunicazione ubicate su aree comunali</w:t>
      </w:r>
      <w:r w:rsidR="000708A2">
        <w:t>. Questa modifica tuttavia ha apportata ulteriore incertezza interpretativa già evidente con l’applicazione del precedente comma 831.</w:t>
      </w:r>
    </w:p>
    <w:p w14:paraId="33F53AC8" w14:textId="07B5C786" w:rsidR="000708A2" w:rsidRDefault="000708A2" w:rsidP="001C7D12">
      <w:pPr>
        <w:jc w:val="both"/>
      </w:pPr>
      <w:r>
        <w:t>Nel ricorso straordinario</w:t>
      </w:r>
      <w:r w:rsidR="00E94032">
        <w:t xml:space="preserve"> </w:t>
      </w:r>
      <w:r>
        <w:t>al Presidente della Repubblica</w:t>
      </w:r>
      <w:r w:rsidR="00E94032">
        <w:t>,</w:t>
      </w:r>
      <w:r>
        <w:t xml:space="preserve"> proposto da una compagnia </w:t>
      </w:r>
      <w:r w:rsidR="00543952">
        <w:t>specializzata in servizi di comunicazione elettronica</w:t>
      </w:r>
      <w:r>
        <w:t xml:space="preserve">, viene richiesto l’annullamento del contratto di concessione </w:t>
      </w:r>
      <w:r w:rsidR="00E94032">
        <w:t>redatto</w:t>
      </w:r>
      <w:r>
        <w:t xml:space="preserve"> da un Comune in provincia di Verona</w:t>
      </w:r>
      <w:r w:rsidR="00543952">
        <w:t>,</w:t>
      </w:r>
      <w:r>
        <w:t xml:space="preserve"> </w:t>
      </w:r>
      <w:r w:rsidR="00543952">
        <w:t>relativo la presenza sul proprio territorio</w:t>
      </w:r>
      <w:r>
        <w:t xml:space="preserve"> di apparati di telecomunicazioni, con </w:t>
      </w:r>
      <w:r w:rsidR="00543952">
        <w:t xml:space="preserve">richiesta di </w:t>
      </w:r>
      <w:r>
        <w:t xml:space="preserve">aggiornamento del canone </w:t>
      </w:r>
      <w:r w:rsidR="00543952">
        <w:t xml:space="preserve">precedentemente </w:t>
      </w:r>
      <w:r>
        <w:t xml:space="preserve">fissato </w:t>
      </w:r>
      <w:r w:rsidR="00543952">
        <w:t>e concordato con l’azienda</w:t>
      </w:r>
      <w:r w:rsidR="00E94032">
        <w:t xml:space="preserve"> stessa</w:t>
      </w:r>
      <w:r w:rsidR="00543952">
        <w:t xml:space="preserve"> titolare delle stazioni radio base (SRB) funzionali ad assicurare il servizio di telefonia mobile</w:t>
      </w:r>
      <w:r>
        <w:t>.</w:t>
      </w:r>
    </w:p>
    <w:p w14:paraId="7440AE6F" w14:textId="452AA3B6" w:rsidR="00213B13" w:rsidRDefault="000708A2" w:rsidP="001C7D12">
      <w:pPr>
        <w:jc w:val="both"/>
      </w:pPr>
      <w:r>
        <w:t xml:space="preserve">Il Comune richiedeva il pagamento del Canone Unico, fissando la tariffa in relazione alla superficie espressa in metri quadrati, sottratta all’uso pubblico, applicando, rispetto alla tariffa base, un coefficiente moltiplicatore, tale da </w:t>
      </w:r>
      <w:r w:rsidR="00E94032">
        <w:t>ri</w:t>
      </w:r>
      <w:r>
        <w:t>portare</w:t>
      </w:r>
      <w:r w:rsidR="00E94032">
        <w:t xml:space="preserve"> il canone ai livelli di importo </w:t>
      </w:r>
      <w:r w:rsidR="00484D2A">
        <w:t xml:space="preserve">che erano stati concordati prima dell’entrata in vigore della nuova disciplina. Il vecchio accordo </w:t>
      </w:r>
      <w:r w:rsidR="00213B13">
        <w:t xml:space="preserve">contrattuale </w:t>
      </w:r>
      <w:r w:rsidR="00484D2A">
        <w:t xml:space="preserve">prevedeva infatti </w:t>
      </w:r>
      <w:proofErr w:type="gramStart"/>
      <w:r w:rsidR="00484D2A">
        <w:t>un</w:t>
      </w:r>
      <w:r w:rsidR="00213B13">
        <w:t xml:space="preserve"> locazione</w:t>
      </w:r>
      <w:proofErr w:type="gramEnd"/>
      <w:r w:rsidR="00213B13">
        <w:t xml:space="preserve"> </w:t>
      </w:r>
      <w:r w:rsidR="00484D2A">
        <w:t>pari a</w:t>
      </w:r>
      <w:r w:rsidR="00213B13">
        <w:t xml:space="preserve"> euro 7.500 per gli anni 2014 e 2015 e di 10mila per le annualità successive.</w:t>
      </w:r>
      <w:r w:rsidR="00484D2A">
        <w:t xml:space="preserve"> Cambiando poi la disciplina dell’entrata, con l’introduzione del Canone Unico Patrimoniale, il Comune riteneva essere legittimato nel definire una misura di tariffa che comportasse e garantisse lo stesso importo definito in passato, a fronte delle medesime occupazioni.</w:t>
      </w:r>
    </w:p>
    <w:p w14:paraId="27ED710B" w14:textId="0C573FFB" w:rsidR="00213B13" w:rsidRDefault="00484D2A" w:rsidP="001C7D12">
      <w:pPr>
        <w:jc w:val="both"/>
      </w:pPr>
      <w:r>
        <w:t>Tuttavia è</w:t>
      </w:r>
      <w:r w:rsidR="00213B13">
        <w:t xml:space="preserve"> evidente come il comportamento del Comune sia stato scorretto</w:t>
      </w:r>
      <w:r>
        <w:t xml:space="preserve">, ovvero non rispondente al disposto normativo, e in questo senso </w:t>
      </w:r>
      <w:r w:rsidR="00213B13">
        <w:t>il Consiglio di Stato non poteva altro che sottolineare come per le occupazioni realizzate dagli operatori che forniscono servizi di comunicazione elettronica si debba applicare il disposto del comma 831 bis</w:t>
      </w:r>
      <w:r w:rsidR="000371CC">
        <w:t>, fin dalla sua introduzione.</w:t>
      </w:r>
    </w:p>
    <w:p w14:paraId="095F93DA" w14:textId="0D99D346" w:rsidR="00213B13" w:rsidRDefault="00213B13" w:rsidP="00213B13">
      <w:pPr>
        <w:jc w:val="both"/>
      </w:pPr>
      <w:r>
        <w:t xml:space="preserve">La sezione del Consiglio di Stato precisa </w:t>
      </w:r>
      <w:r w:rsidR="000371CC">
        <w:t>infatti che</w:t>
      </w:r>
      <w:r>
        <w:t xml:space="preserve">: </w:t>
      </w:r>
      <w:r w:rsidRPr="00213B13">
        <w:rPr>
          <w:i/>
          <w:iCs/>
        </w:rPr>
        <w:t>“</w:t>
      </w:r>
      <w:r w:rsidRPr="00213B13">
        <w:rPr>
          <w:i/>
          <w:iCs/>
        </w:rPr>
        <w:t>Il menzionato comma 831-bis è di decisivo rilievo in chiave interpretativa, e</w:t>
      </w:r>
      <w:r w:rsidRPr="00213B13">
        <w:rPr>
          <w:i/>
          <w:iCs/>
        </w:rPr>
        <w:t xml:space="preserve"> </w:t>
      </w:r>
      <w:r w:rsidRPr="00213B13">
        <w:rPr>
          <w:i/>
          <w:iCs/>
        </w:rPr>
        <w:t>in ogni caso pienamente e immediatamente applicabile all’odierna vicenda</w:t>
      </w:r>
      <w:r w:rsidRPr="00213B13">
        <w:rPr>
          <w:i/>
          <w:iCs/>
        </w:rPr>
        <w:t xml:space="preserve"> </w:t>
      </w:r>
      <w:r w:rsidRPr="00213B13">
        <w:rPr>
          <w:i/>
          <w:iCs/>
        </w:rPr>
        <w:t>controversa perché nessuna previsione di legge ne circoscrive o posticipa</w:t>
      </w:r>
      <w:r w:rsidRPr="00213B13">
        <w:rPr>
          <w:i/>
          <w:iCs/>
        </w:rPr>
        <w:t xml:space="preserve"> </w:t>
      </w:r>
      <w:r w:rsidRPr="00213B13">
        <w:rPr>
          <w:i/>
          <w:iCs/>
        </w:rPr>
        <w:t>l’entrata in vigore e l’efficacia nel tempo. Il Legislatore ha inserito,</w:t>
      </w:r>
      <w:r w:rsidRPr="00213B13">
        <w:rPr>
          <w:i/>
          <w:iCs/>
        </w:rPr>
        <w:t xml:space="preserve"> </w:t>
      </w:r>
      <w:r w:rsidRPr="00213B13">
        <w:rPr>
          <w:i/>
          <w:iCs/>
        </w:rPr>
        <w:t>nell’ambito di un corpus normativo organico destinato a disciplinare la</w:t>
      </w:r>
      <w:r w:rsidRPr="00213B13">
        <w:rPr>
          <w:i/>
          <w:iCs/>
        </w:rPr>
        <w:t xml:space="preserve"> </w:t>
      </w:r>
      <w:r w:rsidRPr="00213B13">
        <w:rPr>
          <w:i/>
          <w:iCs/>
        </w:rPr>
        <w:t>specifica materia "a decorrere dal 2021" (art. 1, co. 816), un comma</w:t>
      </w:r>
      <w:r w:rsidRPr="00213B13">
        <w:rPr>
          <w:i/>
          <w:iCs/>
        </w:rPr>
        <w:t xml:space="preserve"> </w:t>
      </w:r>
      <w:r w:rsidRPr="00213B13">
        <w:rPr>
          <w:i/>
          <w:iCs/>
        </w:rPr>
        <w:t>ulteriore che, sotto il profilo sistematico e teleologico, non può che rivelarsi</w:t>
      </w:r>
      <w:r w:rsidRPr="00213B13">
        <w:rPr>
          <w:i/>
          <w:iCs/>
        </w:rPr>
        <w:t xml:space="preserve"> </w:t>
      </w:r>
      <w:r w:rsidRPr="00213B13">
        <w:rPr>
          <w:i/>
          <w:iCs/>
        </w:rPr>
        <w:t>di immediata applicazione.</w:t>
      </w:r>
      <w:r w:rsidRPr="00213B13">
        <w:rPr>
          <w:i/>
          <w:iCs/>
        </w:rPr>
        <w:t>”</w:t>
      </w:r>
    </w:p>
    <w:p w14:paraId="67782511" w14:textId="03892CBD" w:rsidR="000708A2" w:rsidRDefault="00213B13" w:rsidP="00213B13">
      <w:pPr>
        <w:jc w:val="both"/>
      </w:pPr>
      <w:r>
        <w:t xml:space="preserve">Come dire, alle occupazioni realizzate su patrimonio indisponibile dagli operatori </w:t>
      </w:r>
      <w:r>
        <w:t xml:space="preserve">che forniscono i servizi </w:t>
      </w:r>
      <w:r>
        <w:t xml:space="preserve">di </w:t>
      </w:r>
      <w:r>
        <w:t>infrastrutture di comunicazione elettronica</w:t>
      </w:r>
      <w:r>
        <w:t>, si deve applicare</w:t>
      </w:r>
      <w:r w:rsidR="000371CC">
        <w:t xml:space="preserve"> sempre</w:t>
      </w:r>
      <w:r>
        <w:t xml:space="preserve"> la speciale tariffa di euro 800,00 per ogni impianto, rivalutata in base all’indice ISTAT dei prezzi rilevati al 31 dicembre di ciascun anno</w:t>
      </w:r>
      <w:r w:rsidR="00E94032">
        <w:t xml:space="preserve">. Questo fin dall’introduzione della norma, indipendentemente da eventuali contratti pregressi, che evidentemente non possono, e a parere di chi scrive, non potevano </w:t>
      </w:r>
      <w:r w:rsidR="000371CC">
        <w:t>neppure</w:t>
      </w:r>
      <w:r w:rsidR="00E94032">
        <w:t xml:space="preserve"> in precedenza, prevedere speciali canoni di locazione per occupazioni realizzate</w:t>
      </w:r>
      <w:r w:rsidR="000371CC">
        <w:t>, come dichiara lo stesso Comune,</w:t>
      </w:r>
      <w:r w:rsidR="00E94032">
        <w:t xml:space="preserve"> su patrimonio indisponibile dell’ente.</w:t>
      </w:r>
    </w:p>
    <w:p w14:paraId="312DBB66" w14:textId="297C9FC4" w:rsidR="00E94032" w:rsidRDefault="00E94032" w:rsidP="00E94032">
      <w:pPr>
        <w:jc w:val="both"/>
      </w:pPr>
      <w:r>
        <w:t>Anche il tema di difesa del Comune che giustificava il proprio operato per garantire quell’invarianza di gettito richiesta dallo stesso Legislatore al comma 817, non può trovare accoglimento dato che, come scriveva il TAR del Veneto “</w:t>
      </w:r>
      <w:r w:rsidRPr="00E94032">
        <w:rPr>
          <w:i/>
          <w:iCs/>
        </w:rPr>
        <w:t>l’«invarianza»</w:t>
      </w:r>
      <w:r w:rsidRPr="00E94032">
        <w:rPr>
          <w:i/>
          <w:iCs/>
        </w:rPr>
        <w:t xml:space="preserve"> </w:t>
      </w:r>
      <w:r w:rsidRPr="00E94032">
        <w:rPr>
          <w:i/>
          <w:iCs/>
        </w:rPr>
        <w:t>garantita dal legislatore non riguardi tanto il singolo rapporto concessorio o il singolo</w:t>
      </w:r>
      <w:r w:rsidRPr="00E94032">
        <w:rPr>
          <w:i/>
          <w:iCs/>
        </w:rPr>
        <w:t xml:space="preserve"> </w:t>
      </w:r>
      <w:r w:rsidRPr="00E94032">
        <w:rPr>
          <w:i/>
          <w:iCs/>
        </w:rPr>
        <w:t>tributo o entrata patrimoniale, ma il complessivo gettito e, quindi, la complessiva entrata</w:t>
      </w:r>
      <w:r w:rsidRPr="00E94032">
        <w:rPr>
          <w:i/>
          <w:iCs/>
        </w:rPr>
        <w:t xml:space="preserve"> </w:t>
      </w:r>
      <w:r w:rsidRPr="00E94032">
        <w:rPr>
          <w:i/>
          <w:iCs/>
        </w:rPr>
        <w:t>finanziaria che gli Enti comunali si vedevano garantita dall’applicazione dell’insieme di</w:t>
      </w:r>
      <w:r w:rsidRPr="00E94032">
        <w:rPr>
          <w:i/>
          <w:iCs/>
        </w:rPr>
        <w:t xml:space="preserve"> </w:t>
      </w:r>
      <w:r w:rsidRPr="00E94032">
        <w:rPr>
          <w:i/>
          <w:iCs/>
        </w:rPr>
        <w:t>tutti gli istituti previgenti".</w:t>
      </w:r>
      <w:r w:rsidR="000371CC">
        <w:t xml:space="preserve"> In </w:t>
      </w:r>
      <w:r w:rsidR="000371CC">
        <w:lastRenderedPageBreak/>
        <w:t>questo senso avrebbe potuto il Comune, recuperare la perdita di gettito derivante dall’applicazione del comma 831/bis, con una manovra tariffaria su diverse fattispecie.</w:t>
      </w:r>
    </w:p>
    <w:p w14:paraId="727BCAA6" w14:textId="5C561B31" w:rsidR="000371CC" w:rsidRDefault="000371CC" w:rsidP="00377889">
      <w:pPr>
        <w:jc w:val="both"/>
      </w:pPr>
      <w:r>
        <w:t xml:space="preserve">Si sta formando una giurisprudenza piuttosto </w:t>
      </w:r>
      <w:r w:rsidR="00377889">
        <w:t xml:space="preserve">orientata su questo tema. Anche il TAR di Trento ad esempio ha preso </w:t>
      </w:r>
      <w:r w:rsidR="00377889">
        <w:t>posizione sul trattamento da riservare a quest</w:t>
      </w:r>
      <w:r w:rsidR="00377889">
        <w:t>i</w:t>
      </w:r>
      <w:r w:rsidR="00377889">
        <w:t xml:space="preserve"> particolari manufatti che occupano spazi</w:t>
      </w:r>
      <w:r w:rsidR="00377889">
        <w:t xml:space="preserve"> </w:t>
      </w:r>
      <w:r w:rsidR="00377889">
        <w:t>appartenenti al patrimonio indisponibile degli enti territoriali.</w:t>
      </w:r>
    </w:p>
    <w:p w14:paraId="058E68CD" w14:textId="77777777" w:rsidR="00377889" w:rsidRDefault="00377889" w:rsidP="00377889">
      <w:pPr>
        <w:jc w:val="both"/>
      </w:pPr>
      <w:r>
        <w:t xml:space="preserve">I giudici non entrano nel merito delle problematiche che derivano ai Comuni a causa dell’introduzione della norma, non considerano neppure i principi </w:t>
      </w:r>
      <w:r>
        <w:t xml:space="preserve">di sacrificio imposto alla collettività e </w:t>
      </w:r>
      <w:r>
        <w:t>quello</w:t>
      </w:r>
      <w:r>
        <w:t xml:space="preserve"> di</w:t>
      </w:r>
      <w:r>
        <w:t xml:space="preserve"> </w:t>
      </w:r>
      <w:r>
        <w:t>beneficio economico che il concessionario dell’area pubblica ritrae proprio grazie alla presenza</w:t>
      </w:r>
      <w:r>
        <w:t xml:space="preserve"> </w:t>
      </w:r>
      <w:r>
        <w:t>dell’occupazione</w:t>
      </w:r>
      <w:r>
        <w:t xml:space="preserve">, si limitano a ritenere illegittime le diverse tariffe richieste dai Comuni, in quanto in palese violazione delle Direttive comunitarie recepite dal nostro Codice delle Telecomunicazioni. </w:t>
      </w:r>
    </w:p>
    <w:p w14:paraId="2A22A488" w14:textId="72DA982C" w:rsidR="00377889" w:rsidRPr="000371CC" w:rsidRDefault="00377889" w:rsidP="00377889">
      <w:pPr>
        <w:jc w:val="both"/>
      </w:pPr>
      <w:r>
        <w:t xml:space="preserve">Significativo infatti quanto scrive il TAR di Trento: </w:t>
      </w:r>
      <w:r>
        <w:t>“</w:t>
      </w:r>
      <w:r w:rsidRPr="00377889">
        <w:rPr>
          <w:i/>
          <w:iCs/>
        </w:rPr>
        <w:t>Alle occupazioni effettuate per</w:t>
      </w:r>
      <w:r w:rsidRPr="00377889">
        <w:rPr>
          <w:i/>
          <w:iCs/>
        </w:rPr>
        <w:t xml:space="preserve"> </w:t>
      </w:r>
      <w:r w:rsidRPr="00377889">
        <w:rPr>
          <w:i/>
          <w:iCs/>
        </w:rPr>
        <w:t>l’insediamento di impianti di telefonia mobile, che hanno carattere di pubblica utilità e sono assimilati</w:t>
      </w:r>
      <w:r w:rsidRPr="00377889">
        <w:rPr>
          <w:i/>
          <w:iCs/>
        </w:rPr>
        <w:t xml:space="preserve"> </w:t>
      </w:r>
      <w:r w:rsidRPr="00377889">
        <w:rPr>
          <w:i/>
          <w:iCs/>
        </w:rPr>
        <w:t>alle opere di urbanizzazione primaria, viene riservata una disciplina peggiorativa e un canone</w:t>
      </w:r>
      <w:r w:rsidRPr="00377889">
        <w:rPr>
          <w:i/>
          <w:iCs/>
        </w:rPr>
        <w:t xml:space="preserve"> </w:t>
      </w:r>
      <w:r w:rsidRPr="00377889">
        <w:rPr>
          <w:i/>
          <w:iCs/>
        </w:rPr>
        <w:t>vessatorio al solo fine di assicurare un vantaggio finanziario al Comune. Ciò configura una illegittima</w:t>
      </w:r>
      <w:r w:rsidRPr="00377889">
        <w:rPr>
          <w:i/>
          <w:iCs/>
        </w:rPr>
        <w:t xml:space="preserve"> </w:t>
      </w:r>
      <w:r w:rsidRPr="00377889">
        <w:rPr>
          <w:i/>
          <w:iCs/>
        </w:rPr>
        <w:t xml:space="preserve">imposta extra </w:t>
      </w:r>
      <w:proofErr w:type="spellStart"/>
      <w:r w:rsidRPr="00377889">
        <w:rPr>
          <w:i/>
          <w:iCs/>
        </w:rPr>
        <w:t>ordinem</w:t>
      </w:r>
      <w:proofErr w:type="spellEnd"/>
      <w:r w:rsidRPr="00377889">
        <w:rPr>
          <w:i/>
          <w:iCs/>
        </w:rPr>
        <w:t xml:space="preserve"> sull’attività di impresa e la violazione della Direttiva 2018/1972/UE (“Codice</w:t>
      </w:r>
      <w:r w:rsidRPr="00377889">
        <w:rPr>
          <w:i/>
          <w:iCs/>
        </w:rPr>
        <w:t xml:space="preserve"> </w:t>
      </w:r>
      <w:r w:rsidRPr="00377889">
        <w:rPr>
          <w:i/>
          <w:iCs/>
        </w:rPr>
        <w:t>europeo delle comunicazioni elettroniche”), recepito con d.lgs. 8 novembre 2021, n. 207.”</w:t>
      </w:r>
    </w:p>
    <w:p w14:paraId="74233041" w14:textId="38BF0599" w:rsidR="00377889" w:rsidRDefault="00377889" w:rsidP="00E94032">
      <w:pPr>
        <w:jc w:val="both"/>
      </w:pPr>
      <w:r>
        <w:t xml:space="preserve">Concetto che ritroviamo nel parere del Consiglio di Stato in merito alla controversia descritta, dove il Comune </w:t>
      </w:r>
      <w:r w:rsidR="0006693D">
        <w:t xml:space="preserve">erroneamente, ha ritenuto di poter applicare l’equivalente di un canone di locazione definito secondo criteri contrattuali privatistici, sotto veste di tariffa Canone Unico, andando a calibrare lo specifico coefficiente moltiplicatore della tariffa base, in modo da garantire continuità di gettito rispetto al precedente prelievo. </w:t>
      </w:r>
    </w:p>
    <w:p w14:paraId="1269E5EA" w14:textId="7B0F1735" w:rsidR="0006693D" w:rsidRDefault="0006693D" w:rsidP="00E94032">
      <w:pPr>
        <w:jc w:val="both"/>
      </w:pPr>
      <w:r>
        <w:t xml:space="preserve">Su un tema così delicato, con l’attenzione delle grandi </w:t>
      </w:r>
      <w:r w:rsidR="00134201">
        <w:t>compagnie</w:t>
      </w:r>
      <w:r>
        <w:t xml:space="preserve"> di telecomunicazioni e con una normativa</w:t>
      </w:r>
      <w:r w:rsidR="00134201">
        <w:t xml:space="preserve"> europea e nazionale</w:t>
      </w:r>
      <w:r>
        <w:t xml:space="preserve"> che in questi anni ha </w:t>
      </w:r>
      <w:r w:rsidR="00134201">
        <w:t>incentivato</w:t>
      </w:r>
      <w:r>
        <w:t xml:space="preserve"> la diffusione del settore, </w:t>
      </w:r>
      <w:r w:rsidR="00134201">
        <w:t>riconoscendo benefici fiscali alle aziende del settore</w:t>
      </w:r>
      <w:r w:rsidR="00042480">
        <w:t xml:space="preserve"> (vedi articolo 93 del Codice delle telecomunicazioni)</w:t>
      </w:r>
      <w:r w:rsidR="00134201">
        <w:t>, è fondamentale che gli enti locali gestiscano correttamente le situazioni che riguardano il loro territorio, prestando la massima attenzione alla natura dell’area in cui viene autorizzata l’installazione delle antenne.</w:t>
      </w:r>
    </w:p>
    <w:p w14:paraId="7A006E7D" w14:textId="77777777" w:rsidR="00042480" w:rsidRDefault="00134201" w:rsidP="00E94032">
      <w:pPr>
        <w:jc w:val="both"/>
      </w:pPr>
      <w:r>
        <w:t xml:space="preserve">Tutte le volte che l’occupazione interessa un’area appartenente al patrimonio indisponibile, occorre necessariamente fare riferimento alla disciplina contenuta nel comma 831 bis, senza possibilità di deroga. </w:t>
      </w:r>
    </w:p>
    <w:p w14:paraId="6F85AD57" w14:textId="0CFA50F5" w:rsidR="00134201" w:rsidRDefault="00134201" w:rsidP="00E94032">
      <w:pPr>
        <w:jc w:val="both"/>
      </w:pPr>
      <w:r>
        <w:t xml:space="preserve">Discorso diverso, se l’area sulla quale viene concessa l’autorizzazione all’installazione viene definita dallo stesso Comune come appartenente al patrimonio disponibile. In questi casi la disciplina CUP non incide, mentre trova </w:t>
      </w:r>
      <w:r w:rsidRPr="00134201">
        <w:t xml:space="preserve">applicazione la disciplina di diritto privato, come già affermato in </w:t>
      </w:r>
      <w:r>
        <w:t>diverse</w:t>
      </w:r>
      <w:r w:rsidRPr="00134201">
        <w:t xml:space="preserve"> sentenze</w:t>
      </w:r>
      <w:r>
        <w:t>.</w:t>
      </w:r>
    </w:p>
    <w:p w14:paraId="277412B6" w14:textId="3F945760" w:rsidR="00134201" w:rsidRDefault="00134201" w:rsidP="00E94032">
      <w:pPr>
        <w:jc w:val="both"/>
      </w:pPr>
      <w:r>
        <w:t xml:space="preserve">Diventa quindi </w:t>
      </w:r>
      <w:r w:rsidR="00042480">
        <w:t>fondamentale</w:t>
      </w:r>
      <w:r>
        <w:t xml:space="preserve"> per il Comune</w:t>
      </w:r>
      <w:r w:rsidR="00042480">
        <w:t>,</w:t>
      </w:r>
      <w:r>
        <w:t xml:space="preserve"> che non vuole subire un danno economico rispetto al passato, che l’area su cui insistono le antenne e le stazioni radio base, sia considerata appartenente al patrimonio disponibile. </w:t>
      </w:r>
    </w:p>
    <w:p w14:paraId="0395DDB6" w14:textId="7CD21FD2" w:rsidR="00134201" w:rsidRDefault="00134201" w:rsidP="00134201">
      <w:pPr>
        <w:jc w:val="both"/>
      </w:pPr>
      <w:r>
        <w:t xml:space="preserve">Si ricorda come, </w:t>
      </w:r>
      <w:r>
        <w:t>affinché un bene non appartenente al demanio necessario possa rivestire il carattere pubblico proprio dei beni patrimoniali indisponibili, in quanto destinati a un pubblico servizio ai sensi dell'art. 826 c.c., comma 3, deve sussistere il doppio requisito</w:t>
      </w:r>
      <w:r w:rsidR="00042480">
        <w:t xml:space="preserve">, </w:t>
      </w:r>
      <w:r>
        <w:t>soggettivo e oggettivo</w:t>
      </w:r>
      <w:r w:rsidR="00042480">
        <w:t>,</w:t>
      </w:r>
      <w:r>
        <w:t xml:space="preserve"> che consiste:</w:t>
      </w:r>
      <w:r>
        <w:t xml:space="preserve"> </w:t>
      </w:r>
      <w:r>
        <w:t>a) manifestazione di volontà dell'ente titolare del diritto reale pubblico (e, perciò, un atto amministrativo da cui risulti la specifica volontà dell'ente di destinare quel determinato bene a un pubblico servizio)</w:t>
      </w:r>
      <w:r>
        <w:t xml:space="preserve"> </w:t>
      </w:r>
      <w:r>
        <w:t>b) effettiva e attuale destinazione del bene al pubblico servizio</w:t>
      </w:r>
      <w:r>
        <w:t xml:space="preserve">. </w:t>
      </w:r>
    </w:p>
    <w:p w14:paraId="29A51EB7" w14:textId="5D37AE43" w:rsidR="00134201" w:rsidRDefault="00134201" w:rsidP="00134201">
      <w:pPr>
        <w:jc w:val="both"/>
      </w:pPr>
      <w:r>
        <w:t>il requisito soggettivo si intende soddisfatto solo ove la</w:t>
      </w:r>
      <w:r w:rsidR="006D605B">
        <w:t xml:space="preserve"> stessa</w:t>
      </w:r>
      <w:r>
        <w:t xml:space="preserve"> pubblica amministrazione titolare </w:t>
      </w:r>
      <w:r>
        <w:t>del bene, manifest</w:t>
      </w:r>
      <w:r w:rsidR="00042480">
        <w:t>i</w:t>
      </w:r>
      <w:r>
        <w:t xml:space="preserve"> espressamente, attraverso l’adozione di un provvedimento amministrativo, la volontà di destinare il bene (nel caso di specie l’area su cui insistono i manufatti) ad un pubblico servizio.</w:t>
      </w:r>
      <w:r w:rsidR="00042480">
        <w:t xml:space="preserve"> </w:t>
      </w:r>
      <w:r>
        <w:t xml:space="preserve">In difetto di tali condizioni </w:t>
      </w:r>
      <w:r w:rsidRPr="00042480">
        <w:rPr>
          <w:i/>
          <w:iCs/>
        </w:rPr>
        <w:t xml:space="preserve">“la cessione in godimento del bene medesimo in favore di privati non può essere ricondotta a un rapporto di </w:t>
      </w:r>
      <w:r w:rsidRPr="00042480">
        <w:rPr>
          <w:i/>
          <w:iCs/>
        </w:rPr>
        <w:lastRenderedPageBreak/>
        <w:t xml:space="preserve">concessione amministrativa, ma, inerendo a un bene facente parte del patrimonio disponibile, al di là del </w:t>
      </w:r>
      <w:proofErr w:type="spellStart"/>
      <w:r w:rsidRPr="00042480">
        <w:rPr>
          <w:i/>
          <w:iCs/>
        </w:rPr>
        <w:t>nomen</w:t>
      </w:r>
      <w:proofErr w:type="spellEnd"/>
      <w:r w:rsidRPr="00042480">
        <w:rPr>
          <w:i/>
          <w:iCs/>
        </w:rPr>
        <w:t xml:space="preserve"> iuris che le parti contraenti hanno inteso dare al rapporto, essa viene a inquadrarsi nello schema privatistico della locazione”</w:t>
      </w:r>
      <w:r w:rsidR="00042480">
        <w:rPr>
          <w:i/>
          <w:iCs/>
        </w:rPr>
        <w:t xml:space="preserve"> </w:t>
      </w:r>
      <w:r w:rsidR="00042480" w:rsidRPr="00042480">
        <w:t xml:space="preserve">(Cassazione </w:t>
      </w:r>
      <w:proofErr w:type="spellStart"/>
      <w:r w:rsidR="00042480" w:rsidRPr="00042480">
        <w:t>Sezione</w:t>
      </w:r>
      <w:proofErr w:type="spellEnd"/>
      <w:r w:rsidR="00042480" w:rsidRPr="00042480">
        <w:t xml:space="preserve"> Unite n. 13664/2019)</w:t>
      </w:r>
      <w:r w:rsidRPr="00042480">
        <w:t>.</w:t>
      </w:r>
    </w:p>
    <w:p w14:paraId="5308B80B" w14:textId="7232B2ED" w:rsidR="00042480" w:rsidRDefault="00042480" w:rsidP="00134201">
      <w:pPr>
        <w:jc w:val="both"/>
      </w:pPr>
      <w:r>
        <w:t xml:space="preserve">In definitiva, il Comune per poter difendere la propria posizione, </w:t>
      </w:r>
      <w:r w:rsidR="006D605B">
        <w:t>avrebbe dovuto</w:t>
      </w:r>
      <w:r>
        <w:t xml:space="preserve"> far rilevare </w:t>
      </w:r>
      <w:r w:rsidR="006D605B">
        <w:t>come</w:t>
      </w:r>
      <w:r>
        <w:t xml:space="preserve"> l’area oggetto di concessione in realtà</w:t>
      </w:r>
      <w:r w:rsidR="006D605B">
        <w:t>, al di là del nome,</w:t>
      </w:r>
      <w:r>
        <w:t xml:space="preserve"> </w:t>
      </w:r>
      <w:r w:rsidR="006D605B">
        <w:t>debba</w:t>
      </w:r>
      <w:r>
        <w:t xml:space="preserve"> intendersi come appartenente al patrimonio disponibile e quindi far valere il contratto già stipulato in passato.</w:t>
      </w:r>
      <w:r w:rsidR="006D605B">
        <w:t xml:space="preserve"> Perché quel contratto, aveva sicuramente già le caratteristiche di un rapporto di natura privatistico, viceversa sarebbe stato incompatibile anche con l’allora regime TOSAP o COSAP, ergo, l’area di riferimento, da sempre è da considerarsi appartenente al patrimonio disponibile e quindi estranea alla disciplina CUP introdotta con il comma 816, articolo 1 Legge 160/2019.</w:t>
      </w:r>
    </w:p>
    <w:p w14:paraId="0DA11C67" w14:textId="1196F39B" w:rsidR="00042480" w:rsidRDefault="00042480" w:rsidP="00134201">
      <w:pPr>
        <w:jc w:val="both"/>
      </w:pPr>
      <w:r>
        <w:t xml:space="preserve">Come detto infatti, </w:t>
      </w:r>
      <w:r w:rsidRPr="00042480">
        <w:t xml:space="preserve">ove si tratti di patrimonio disponibile, la nuova disciplina </w:t>
      </w:r>
      <w:r>
        <w:t xml:space="preserve">definita nel comma 831-bis, </w:t>
      </w:r>
      <w:r w:rsidRPr="00042480">
        <w:t xml:space="preserve">non può in alcun modo incidere nei contratti di diritto privato stipulati con il Comune, che mantengono forza di legge tra le parti, secondo il noto principio </w:t>
      </w:r>
      <w:r w:rsidRPr="006D605B">
        <w:rPr>
          <w:i/>
          <w:iCs/>
        </w:rPr>
        <w:t xml:space="preserve">pacta </w:t>
      </w:r>
      <w:proofErr w:type="spellStart"/>
      <w:r w:rsidRPr="006D605B">
        <w:rPr>
          <w:i/>
          <w:iCs/>
        </w:rPr>
        <w:t>sunt</w:t>
      </w:r>
      <w:proofErr w:type="spellEnd"/>
      <w:r w:rsidRPr="006D605B">
        <w:rPr>
          <w:i/>
          <w:iCs/>
        </w:rPr>
        <w:t xml:space="preserve"> </w:t>
      </w:r>
      <w:proofErr w:type="spellStart"/>
      <w:r w:rsidRPr="006D605B">
        <w:rPr>
          <w:i/>
          <w:iCs/>
        </w:rPr>
        <w:t>servanda</w:t>
      </w:r>
      <w:proofErr w:type="spellEnd"/>
      <w:r w:rsidRPr="00042480">
        <w:t>, e non possono essere sciolti se non per mutuo consenso ai sensi dell’art. 1372 del c.c.</w:t>
      </w:r>
    </w:p>
    <w:p w14:paraId="1BE18B28" w14:textId="77777777" w:rsidR="00042480" w:rsidRPr="00042480" w:rsidRDefault="00042480" w:rsidP="00134201">
      <w:pPr>
        <w:jc w:val="both"/>
        <w:rPr>
          <w:i/>
          <w:iCs/>
        </w:rPr>
      </w:pPr>
    </w:p>
    <w:p w14:paraId="38A8E7DB" w14:textId="77777777" w:rsidR="00701E11" w:rsidRDefault="00701E11" w:rsidP="001C7D12">
      <w:pPr>
        <w:jc w:val="both"/>
      </w:pPr>
    </w:p>
    <w:p w14:paraId="1972C619" w14:textId="77777777" w:rsidR="00543952" w:rsidRDefault="00543952" w:rsidP="001C7D12">
      <w:pPr>
        <w:jc w:val="both"/>
      </w:pPr>
    </w:p>
    <w:p w14:paraId="728F1911" w14:textId="77777777" w:rsidR="000708A2" w:rsidRDefault="000708A2" w:rsidP="001C7D12">
      <w:pPr>
        <w:jc w:val="both"/>
      </w:pPr>
    </w:p>
    <w:sectPr w:rsidR="000708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AFCF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33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5A"/>
    <w:rsid w:val="000371CC"/>
    <w:rsid w:val="00042480"/>
    <w:rsid w:val="00060149"/>
    <w:rsid w:val="0006693D"/>
    <w:rsid w:val="000708A2"/>
    <w:rsid w:val="00134201"/>
    <w:rsid w:val="001C7D12"/>
    <w:rsid w:val="00213B13"/>
    <w:rsid w:val="00377889"/>
    <w:rsid w:val="00484D2A"/>
    <w:rsid w:val="004D1CB8"/>
    <w:rsid w:val="00543952"/>
    <w:rsid w:val="006D605B"/>
    <w:rsid w:val="00701A5A"/>
    <w:rsid w:val="00701E11"/>
    <w:rsid w:val="007E2CAF"/>
    <w:rsid w:val="00D821C8"/>
    <w:rsid w:val="00E940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981F"/>
  <w15:chartTrackingRefBased/>
  <w15:docId w15:val="{1E94E95A-2531-430B-A149-9BCC2A1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1C7D12"/>
    <w:pPr>
      <w:autoSpaceDE w:val="0"/>
      <w:autoSpaceDN w:val="0"/>
      <w:adjustRightInd w:val="0"/>
      <w:spacing w:after="0" w:line="240" w:lineRule="auto"/>
    </w:pPr>
    <w:rPr>
      <w:rFonts w:ascii="Bookman Old Style" w:hAnsi="Bookman Old Style" w:cs="Bookman Old Style"/>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1497</Words>
  <Characters>8535</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4</cp:revision>
  <dcterms:created xsi:type="dcterms:W3CDTF">2023-08-23T07:36:00Z</dcterms:created>
  <dcterms:modified xsi:type="dcterms:W3CDTF">2023-08-23T10:39:00Z</dcterms:modified>
</cp:coreProperties>
</file>