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F8FE" w14:textId="55B99646" w:rsidR="00FD1ED6" w:rsidRPr="00FD1ED6" w:rsidRDefault="00FD1ED6" w:rsidP="00FD1ED6">
      <w:pPr>
        <w:rPr>
          <w:b/>
          <w:bCs/>
        </w:rPr>
      </w:pPr>
      <w:r w:rsidRPr="00FD1ED6">
        <w:rPr>
          <w:b/>
          <w:bCs/>
        </w:rPr>
        <w:t>L’attività di accertamento</w:t>
      </w:r>
      <w:r w:rsidRPr="00FD1ED6">
        <w:rPr>
          <w:b/>
          <w:bCs/>
        </w:rPr>
        <w:t xml:space="preserve"> </w:t>
      </w:r>
      <w:r w:rsidRPr="00FD1ED6">
        <w:rPr>
          <w:b/>
          <w:bCs/>
        </w:rPr>
        <w:t>per le diffusioni pubblicitarie</w:t>
      </w:r>
      <w:r w:rsidRPr="00FD1ED6">
        <w:rPr>
          <w:b/>
          <w:bCs/>
        </w:rPr>
        <w:t xml:space="preserve"> </w:t>
      </w:r>
      <w:r w:rsidRPr="00FD1ED6">
        <w:rPr>
          <w:b/>
          <w:bCs/>
        </w:rPr>
        <w:t>e per le occupazioni di suolo</w:t>
      </w:r>
      <w:r w:rsidRPr="00FD1ED6">
        <w:rPr>
          <w:b/>
          <w:bCs/>
        </w:rPr>
        <w:t xml:space="preserve"> </w:t>
      </w:r>
      <w:r w:rsidRPr="00FD1ED6">
        <w:rPr>
          <w:b/>
          <w:bCs/>
        </w:rPr>
        <w:t>pubblico</w:t>
      </w:r>
    </w:p>
    <w:p w14:paraId="3B67A22C" w14:textId="02A69D25" w:rsidR="00060149" w:rsidRDefault="00FD1ED6" w:rsidP="00FD1ED6">
      <w:pPr>
        <w:jc w:val="both"/>
      </w:pPr>
      <w:r>
        <w:t>A</w:t>
      </w:r>
      <w:r w:rsidRPr="00FD1ED6">
        <w:t>pprofondimento</w:t>
      </w:r>
      <w:r w:rsidRPr="00FD1ED6">
        <w:t xml:space="preserve"> a 360 gradi sul tema dell’accertamento nell’ambito del Canone Unico Patrimoniale, l’entrata introdotta a partire dal 2021 dal Legislatore in sostituzione dei precedenti prelievi dedicati alle diffusioni pubblicitarie e alle occupazioni di suolo pubblico</w:t>
      </w:r>
      <w:r>
        <w:t>.</w:t>
      </w:r>
    </w:p>
    <w:p w14:paraId="5CBC76B4" w14:textId="4E8E6864" w:rsidR="00FD1ED6" w:rsidRDefault="00FD1ED6" w:rsidP="00FD1ED6">
      <w:pPr>
        <w:jc w:val="both"/>
      </w:pPr>
      <w:r>
        <w:t>Per entrambi i presupposti andremo ad analizzare gli elementi fondamentali da</w:t>
      </w:r>
      <w:r>
        <w:t xml:space="preserve"> </w:t>
      </w:r>
      <w:r>
        <w:t xml:space="preserve">considerare per organizzare l’attività di accertamento. L’individuazione di ciò che è </w:t>
      </w:r>
      <w:r>
        <w:t>soggetto al</w:t>
      </w:r>
      <w:r>
        <w:t xml:space="preserve"> </w:t>
      </w:r>
      <w:r>
        <w:t>pagamento del canone</w:t>
      </w:r>
      <w:r>
        <w:t>, l’ente legittimato ad attivare l’attività di recupero, il soggetto passivo chiamato a rispondere delle violazioni accertate, i criteri di calcolo</w:t>
      </w:r>
      <w:r>
        <w:t xml:space="preserve"> </w:t>
      </w:r>
      <w:r>
        <w:t>e le varie ipotesi di esenzione e agevolazione da considerare nella liquidazione del</w:t>
      </w:r>
      <w:r>
        <w:t xml:space="preserve"> </w:t>
      </w:r>
      <w:r>
        <w:t>dovuto. Molti saranno i riferimenti giurisprudenziali formatisi anche, e soprattutto, con i prelievi</w:t>
      </w:r>
      <w:r>
        <w:t xml:space="preserve"> </w:t>
      </w:r>
      <w:r>
        <w:t>precedenti sulle cui fondamenta poggia l’attuale disciplina del CUP.</w:t>
      </w:r>
    </w:p>
    <w:p w14:paraId="0215208F" w14:textId="25A2132D" w:rsidR="00FD1ED6" w:rsidRDefault="00FD1ED6" w:rsidP="00FD1ED6">
      <w:pPr>
        <w:jc w:val="both"/>
      </w:pPr>
      <w:r>
        <w:t>Una guida d</w:t>
      </w:r>
      <w:r>
        <w:t xml:space="preserve">al taglio pratico operativo </w:t>
      </w:r>
      <w:r>
        <w:t xml:space="preserve">per gli uffici entrate degli enti locali, utile per sviluppare la fase di accertamento del canone </w:t>
      </w:r>
      <w:r w:rsidRPr="00FD1ED6">
        <w:t xml:space="preserve">che comprenderà </w:t>
      </w:r>
      <w:r>
        <w:t xml:space="preserve">sia </w:t>
      </w:r>
      <w:r w:rsidRPr="00FD1ED6">
        <w:t xml:space="preserve">attività </w:t>
      </w:r>
      <w:r w:rsidRPr="00EF7BCD">
        <w:rPr>
          <w:i/>
          <w:iCs/>
        </w:rPr>
        <w:t>on desk</w:t>
      </w:r>
      <w:r w:rsidRPr="00FD1ED6">
        <w:t>, con analisi delle banche dati</w:t>
      </w:r>
      <w:r>
        <w:t xml:space="preserve"> e</w:t>
      </w:r>
      <w:r w:rsidRPr="00FD1ED6">
        <w:t xml:space="preserve"> degli archivi delle autorizzazioni e concessioni</w:t>
      </w:r>
      <w:r>
        <w:t xml:space="preserve">, sia attività </w:t>
      </w:r>
      <w:r w:rsidRPr="00EF7BCD">
        <w:rPr>
          <w:i/>
          <w:iCs/>
        </w:rPr>
        <w:t>on field</w:t>
      </w:r>
      <w:r>
        <w:t xml:space="preserve"> con verifiche puntuali sul territorio grazie alle figure preposte di pubblici ufficiali</w:t>
      </w:r>
      <w:r w:rsidR="00EF7BCD">
        <w:t>.</w:t>
      </w:r>
    </w:p>
    <w:p w14:paraId="478FD7C1" w14:textId="77777777" w:rsidR="00FD1ED6" w:rsidRDefault="00FD1ED6" w:rsidP="00FD1ED6">
      <w:pPr>
        <w:jc w:val="both"/>
      </w:pPr>
    </w:p>
    <w:sectPr w:rsidR="00FD1ED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97"/>
    <w:rsid w:val="00060149"/>
    <w:rsid w:val="007B1496"/>
    <w:rsid w:val="00C55A97"/>
    <w:rsid w:val="00C75A7B"/>
    <w:rsid w:val="00EF7BCD"/>
    <w:rsid w:val="00FD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062A"/>
  <w15:chartTrackingRefBased/>
  <w15:docId w15:val="{89529CF4-87B6-4C85-BF24-41F220694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5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55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5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55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55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55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55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55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5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55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55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55A9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55A9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55A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55A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55A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55A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55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5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55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5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55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55A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55A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55A9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55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55A9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55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3</cp:revision>
  <dcterms:created xsi:type="dcterms:W3CDTF">2025-09-29T06:26:00Z</dcterms:created>
  <dcterms:modified xsi:type="dcterms:W3CDTF">2025-09-29T06:39:00Z</dcterms:modified>
</cp:coreProperties>
</file>