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EC63" w14:textId="06DD1305" w:rsidR="00060149" w:rsidRDefault="0022232C">
      <w:r>
        <w:t xml:space="preserve">Titolo: </w:t>
      </w:r>
      <w:r w:rsidR="00772ECE">
        <w:t>Per il TAR il</w:t>
      </w:r>
      <w:r w:rsidRPr="0022232C">
        <w:t xml:space="preserve"> canone mercatale non si applica a fiere e sagre</w:t>
      </w:r>
    </w:p>
    <w:p w14:paraId="69DDF86E" w14:textId="193F5DEE" w:rsidR="0022232C" w:rsidRDefault="0022232C">
      <w:r>
        <w:t>Di Alessandro Merciari</w:t>
      </w:r>
    </w:p>
    <w:p w14:paraId="29103ECE" w14:textId="539785AD" w:rsidR="0022232C" w:rsidRDefault="007B73A3" w:rsidP="006235D7">
      <w:pPr>
        <w:jc w:val="both"/>
      </w:pPr>
      <w:r w:rsidRPr="007B73A3">
        <w:t>Il Tribunale Amministrativo Regionale per la Sardegna</w:t>
      </w:r>
      <w:r>
        <w:t xml:space="preserve"> ha pronunciato la sentenza 4</w:t>
      </w:r>
      <w:r w:rsidRPr="007B73A3">
        <w:t>77/2025</w:t>
      </w:r>
      <w:r>
        <w:t xml:space="preserve"> pubblicata lo scorso 27 maggio 2025 sul ricorso proposto da</w:t>
      </w:r>
      <w:r w:rsidR="002031B7">
        <w:t xml:space="preserve"> una a</w:t>
      </w:r>
      <w:r>
        <w:t xml:space="preserve">ssociazione </w:t>
      </w:r>
      <w:r w:rsidR="002031B7">
        <w:t xml:space="preserve">di ambulanti sardi al fine di ottenere l’annullamento delle richieste di pagamento </w:t>
      </w:r>
      <w:r w:rsidR="00B65DD0">
        <w:t xml:space="preserve">CUP e TARI avanzate </w:t>
      </w:r>
      <w:r w:rsidR="006F5AF2">
        <w:t xml:space="preserve">da parte </w:t>
      </w:r>
      <w:r w:rsidR="002031B7">
        <w:t>di un Comune della provincia di Cagliari in occasione di una sagra annuale.</w:t>
      </w:r>
      <w:r w:rsidR="006F5AF2">
        <w:t xml:space="preserve"> Le richieste</w:t>
      </w:r>
      <w:r w:rsidR="00B65DD0">
        <w:t>,</w:t>
      </w:r>
      <w:r w:rsidR="006F5AF2">
        <w:t xml:space="preserve"> secondo la parte ricorrente</w:t>
      </w:r>
      <w:r w:rsidR="00B65DD0">
        <w:t>,</w:t>
      </w:r>
      <w:r w:rsidR="006F5AF2">
        <w:t xml:space="preserve"> dovevano </w:t>
      </w:r>
      <w:r w:rsidR="00772ECE">
        <w:t>derivare dalla disciplina e dalle tariffe previste per il</w:t>
      </w:r>
      <w:r w:rsidR="00B65DD0">
        <w:t xml:space="preserve"> diverso</w:t>
      </w:r>
      <w:r w:rsidR="00772ECE">
        <w:t xml:space="preserve"> </w:t>
      </w:r>
      <w:r w:rsidR="006F5AF2">
        <w:t>Canone Mercatale.</w:t>
      </w:r>
    </w:p>
    <w:p w14:paraId="31F0B934" w14:textId="61E3104C" w:rsidR="006F5AF2" w:rsidRPr="006F5AF2" w:rsidRDefault="006F5AF2" w:rsidP="006F5AF2">
      <w:pPr>
        <w:jc w:val="both"/>
      </w:pPr>
      <w:r w:rsidRPr="006F5AF2">
        <w:t xml:space="preserve">La censura </w:t>
      </w:r>
      <w:r>
        <w:t xml:space="preserve">infatti </w:t>
      </w:r>
      <w:r w:rsidRPr="006F5AF2">
        <w:t>si basa sull’assunto, non condiviso dal Collegio, secondo cui</w:t>
      </w:r>
      <w:r>
        <w:t xml:space="preserve"> doveva</w:t>
      </w:r>
      <w:r w:rsidRPr="006F5AF2">
        <w:t xml:space="preserve"> trovare applicazione la tariffa stabilita ai</w:t>
      </w:r>
      <w:r>
        <w:t xml:space="preserve"> </w:t>
      </w:r>
      <w:r w:rsidRPr="006F5AF2">
        <w:t>sensi dell’art. 1 commi 837 e ss. della L. n. 160/2019 in relazione al c.d.</w:t>
      </w:r>
      <w:r w:rsidR="00CF42DA">
        <w:t xml:space="preserve"> </w:t>
      </w:r>
      <w:r w:rsidRPr="006F5AF2">
        <w:t>“</w:t>
      </w:r>
      <w:r w:rsidRPr="006F5AF2">
        <w:rPr>
          <w:i/>
          <w:iCs/>
        </w:rPr>
        <w:t>canone mercatale</w:t>
      </w:r>
      <w:r w:rsidRPr="006F5AF2">
        <w:t xml:space="preserve">” </w:t>
      </w:r>
    </w:p>
    <w:p w14:paraId="01D480ED" w14:textId="4B20859B" w:rsidR="006F5AF2" w:rsidRPr="006F5AF2" w:rsidRDefault="006F5AF2" w:rsidP="006F5AF2">
      <w:pPr>
        <w:jc w:val="both"/>
        <w:rPr>
          <w:i/>
          <w:iCs/>
        </w:rPr>
      </w:pPr>
      <w:r>
        <w:t xml:space="preserve">I giudici a questo proposito scrivono: </w:t>
      </w:r>
      <w:r w:rsidRPr="006F5AF2">
        <w:rPr>
          <w:i/>
          <w:iCs/>
        </w:rPr>
        <w:t>“Tale tariffa, infatti, stabilita per l’occupazione delle aree e degli spazi specificamente destinati a mercati non è applicabile al caso di specie, in quanto la sagra in questione non è riconducibile ad un semplice “mercato”, masi estrinseca in una manifestazione religiosa e civile caratterizzata da un afflusso di persone, e da problematiche organizzative e gestionali di certo non paragonabili a quelle di un mercato comunale o cittadino periodico. Ciò anche in relazione ai costi e agli oneri ricadenti sull’Amministrazione locale.</w:t>
      </w:r>
      <w:r>
        <w:rPr>
          <w:i/>
          <w:iCs/>
        </w:rPr>
        <w:t xml:space="preserve"> </w:t>
      </w:r>
      <w:r w:rsidRPr="006F5AF2">
        <w:rPr>
          <w:i/>
          <w:iCs/>
        </w:rPr>
        <w:t>Pertanto, contrariamente a quanto sostenuto dai ricorrenti, non sussistono i presupposti per l’applicazione del c.d. “canone mercatale”, trattandosi di fattispecie non assimilabile ai fini della determinazione dell’entità del canone al cui pagamento è subordinata la concessione dell’occupazione di suolo pubblico.”</w:t>
      </w:r>
    </w:p>
    <w:p w14:paraId="641559C2" w14:textId="00156567" w:rsidR="006235D7" w:rsidRDefault="006F5AF2" w:rsidP="006235D7">
      <w:pPr>
        <w:jc w:val="both"/>
      </w:pPr>
      <w:r>
        <w:t xml:space="preserve">Quanto è importante questa affermazione che analizza la sostanziale differenza tra un’occupazione realizzata in un mercato rispetto a quella operata nell’ambito di un evento molto più grande e complesso come </w:t>
      </w:r>
      <w:r w:rsidR="00B65DD0">
        <w:t xml:space="preserve">quello di </w:t>
      </w:r>
      <w:r>
        <w:t>una fiera o una sagra</w:t>
      </w:r>
      <w:r w:rsidR="002238EF">
        <w:t>?</w:t>
      </w:r>
    </w:p>
    <w:p w14:paraId="5D4A5373" w14:textId="75A73579" w:rsidR="006F5AF2" w:rsidRDefault="006F5AF2" w:rsidP="006235D7">
      <w:pPr>
        <w:jc w:val="both"/>
      </w:pPr>
      <w:r>
        <w:t xml:space="preserve">Un punto </w:t>
      </w:r>
      <w:r w:rsidR="000F147C">
        <w:t xml:space="preserve">decisamente </w:t>
      </w:r>
      <w:r>
        <w:t>a favore dei Comuni che già hanno dovuto subire delle tariffe imposte dal legislatore per i mercati presenti nel proprio territorio, per i quali molto spesso i gettiti derivanti dai precedenti prelievi superavano abbondantemente quanto oggi previsto</w:t>
      </w:r>
      <w:r w:rsidR="000F147C">
        <w:t xml:space="preserve"> dalla normativa</w:t>
      </w:r>
      <w:r>
        <w:t>.</w:t>
      </w:r>
    </w:p>
    <w:p w14:paraId="3C075997" w14:textId="15DEF152" w:rsidR="006F5AF2" w:rsidRDefault="003E1723" w:rsidP="006235D7">
      <w:pPr>
        <w:jc w:val="both"/>
      </w:pPr>
      <w:r>
        <w:t xml:space="preserve">Un altro tema molto importante è stato affrontato dai giudici. Si tratta sostanzialmente dalla potestà riconosciuta agli enti locali in materia di proprie entrate. Nel rispetto dei principi fondamentali delle prestazioni fiscali imposte, i Comuni e le </w:t>
      </w:r>
      <w:r w:rsidR="002238EF">
        <w:t>P</w:t>
      </w:r>
      <w:r>
        <w:t xml:space="preserve">rovince possono diversificare le tariffe su basi diverse </w:t>
      </w:r>
      <w:r w:rsidR="00E61C01">
        <w:t>purché</w:t>
      </w:r>
      <w:r>
        <w:t xml:space="preserve"> rispettino i principi di gradualità e proporzionalità</w:t>
      </w:r>
      <w:r w:rsidR="002238EF">
        <w:t xml:space="preserve"> e motivino le scelte operate</w:t>
      </w:r>
      <w:r>
        <w:t>. Legittimo quindi secondo il Tribunale Amministrativo ipotizzare una diversi</w:t>
      </w:r>
      <w:r w:rsidR="00E61C01">
        <w:t xml:space="preserve">ficazione sulla base della categoria merceologica a cui </w:t>
      </w:r>
      <w:r w:rsidR="000F147C">
        <w:t xml:space="preserve">peraltro </w:t>
      </w:r>
      <w:r w:rsidR="00E61C01">
        <w:t xml:space="preserve">corrispondono oneri a carico del comune </w:t>
      </w:r>
      <w:r w:rsidR="002238EF">
        <w:t>differenziati</w:t>
      </w:r>
      <w:r w:rsidR="00E61C01">
        <w:t>.</w:t>
      </w:r>
    </w:p>
    <w:p w14:paraId="379789B3" w14:textId="3F03FE18" w:rsidR="00E61C01" w:rsidRDefault="00E61C01" w:rsidP="00E61C01">
      <w:pPr>
        <w:jc w:val="both"/>
        <w:rPr>
          <w:i/>
          <w:iCs/>
        </w:rPr>
      </w:pPr>
      <w:r>
        <w:t>Si legge nella sentenza: “</w:t>
      </w:r>
      <w:r w:rsidRPr="00E61C01">
        <w:rPr>
          <w:i/>
          <w:iCs/>
        </w:rPr>
        <w:t>4.2. Da un altro punto di vista, non può trovare accoglimento neppure la</w:t>
      </w:r>
      <w:r>
        <w:rPr>
          <w:i/>
          <w:iCs/>
        </w:rPr>
        <w:t xml:space="preserve"> </w:t>
      </w:r>
      <w:r w:rsidRPr="00E61C01">
        <w:rPr>
          <w:i/>
          <w:iCs/>
        </w:rPr>
        <w:t>doglianza in merito alla mancata considerazione, nella determinazione</w:t>
      </w:r>
      <w:r>
        <w:rPr>
          <w:i/>
          <w:iCs/>
        </w:rPr>
        <w:t xml:space="preserve"> </w:t>
      </w:r>
      <w:r w:rsidRPr="00E61C01">
        <w:rPr>
          <w:i/>
          <w:iCs/>
        </w:rPr>
        <w:t>dell’importo dovuto, della diversa superficie occupata dagli operatori e degli</w:t>
      </w:r>
      <w:r>
        <w:rPr>
          <w:i/>
          <w:iCs/>
        </w:rPr>
        <w:t xml:space="preserve"> </w:t>
      </w:r>
      <w:r w:rsidRPr="00E61C01">
        <w:rPr>
          <w:i/>
          <w:iCs/>
        </w:rPr>
        <w:t>altri elementi indicati dai ricorrenti in sede di ricorso introduttivo, dovendosi,</w:t>
      </w:r>
      <w:r>
        <w:rPr>
          <w:i/>
          <w:iCs/>
        </w:rPr>
        <w:t xml:space="preserve"> </w:t>
      </w:r>
      <w:r w:rsidRPr="00E61C01">
        <w:rPr>
          <w:i/>
          <w:iCs/>
        </w:rPr>
        <w:t>invece, ritenere sufficiente il criterio utilizzato dal Comune basato sulla</w:t>
      </w:r>
      <w:r>
        <w:rPr>
          <w:i/>
          <w:iCs/>
        </w:rPr>
        <w:t xml:space="preserve"> </w:t>
      </w:r>
      <w:r w:rsidRPr="00E61C01">
        <w:rPr>
          <w:i/>
          <w:iCs/>
        </w:rPr>
        <w:t>differente categoria merceologica.</w:t>
      </w:r>
      <w:r w:rsidR="000F147C">
        <w:rPr>
          <w:i/>
          <w:iCs/>
        </w:rPr>
        <w:t xml:space="preserve"> </w:t>
      </w:r>
      <w:r w:rsidRPr="00E61C01">
        <w:rPr>
          <w:i/>
          <w:iCs/>
        </w:rPr>
        <w:t>Esso rappresenta, infatti, un elemento idoneo a diversificare le posizioni degli</w:t>
      </w:r>
      <w:r>
        <w:rPr>
          <w:i/>
          <w:iCs/>
        </w:rPr>
        <w:t xml:space="preserve"> </w:t>
      </w:r>
      <w:r w:rsidRPr="00E61C01">
        <w:rPr>
          <w:i/>
          <w:iCs/>
        </w:rPr>
        <w:t>esercenti e a evitare il verificarsi di situazioni di irragionevole disparità di</w:t>
      </w:r>
      <w:r>
        <w:rPr>
          <w:i/>
          <w:iCs/>
        </w:rPr>
        <w:t xml:space="preserve"> </w:t>
      </w:r>
      <w:r w:rsidRPr="00E61C01">
        <w:rPr>
          <w:i/>
          <w:iCs/>
        </w:rPr>
        <w:t>trattamento, proprio in quanto l’entità del “corrispettivo” è ancorato alla</w:t>
      </w:r>
      <w:r>
        <w:rPr>
          <w:i/>
          <w:iCs/>
        </w:rPr>
        <w:t xml:space="preserve"> </w:t>
      </w:r>
      <w:r w:rsidRPr="00E61C01">
        <w:rPr>
          <w:i/>
          <w:iCs/>
        </w:rPr>
        <w:t>differente tipologia di attività di commercio o di somministrazione di alimenti</w:t>
      </w:r>
      <w:r>
        <w:rPr>
          <w:i/>
          <w:iCs/>
        </w:rPr>
        <w:t xml:space="preserve"> </w:t>
      </w:r>
      <w:r w:rsidRPr="00E61C01">
        <w:rPr>
          <w:i/>
          <w:iCs/>
        </w:rPr>
        <w:t>e bevande esercitata e, dunque, al distinto impatto sui costi che</w:t>
      </w:r>
      <w:r>
        <w:rPr>
          <w:i/>
          <w:iCs/>
        </w:rPr>
        <w:t xml:space="preserve"> </w:t>
      </w:r>
      <w:r w:rsidRPr="00E61C01">
        <w:rPr>
          <w:i/>
          <w:iCs/>
        </w:rPr>
        <w:t>l’Amministrazione stima debbano essere sostenuti per la pulizia delle aree</w:t>
      </w:r>
      <w:r>
        <w:rPr>
          <w:i/>
          <w:iCs/>
        </w:rPr>
        <w:t xml:space="preserve"> </w:t>
      </w:r>
      <w:r w:rsidRPr="00E61C01">
        <w:rPr>
          <w:i/>
          <w:iCs/>
        </w:rPr>
        <w:t>interessate dalle attività stesse.”</w:t>
      </w:r>
    </w:p>
    <w:p w14:paraId="120E2E87" w14:textId="69C29024" w:rsidR="00E61C01" w:rsidRDefault="002238EF" w:rsidP="00E61C01">
      <w:pPr>
        <w:jc w:val="both"/>
      </w:pPr>
      <w:r>
        <w:t xml:space="preserve">Questo passaggio della sentenza, così come il precedente riportato, è di grande conforto per l’operato delle Pubbliche Amministrazioni che possono </w:t>
      </w:r>
      <w:r w:rsidR="000F147C">
        <w:t>trovare conferma</w:t>
      </w:r>
      <w:r>
        <w:t xml:space="preserve"> nelle parole dei giudici e valutare come legittime le scelte fatte</w:t>
      </w:r>
      <w:r w:rsidR="000F147C">
        <w:t xml:space="preserve"> sia </w:t>
      </w:r>
      <w:r>
        <w:t xml:space="preserve"> in sede di stesura del Regolamento dell’entrata </w:t>
      </w:r>
      <w:r w:rsidR="000F147C">
        <w:t>ch</w:t>
      </w:r>
      <w:r>
        <w:t>e in fase di definizione dell’impianto tariffario.</w:t>
      </w:r>
    </w:p>
    <w:p w14:paraId="3A411D1F" w14:textId="7B400ABC" w:rsidR="002238EF" w:rsidRDefault="002238EF" w:rsidP="00E61C01">
      <w:pPr>
        <w:jc w:val="both"/>
      </w:pPr>
      <w:r>
        <w:lastRenderedPageBreak/>
        <w:t xml:space="preserve">C’è un terzo tema affrontato dai giudici, che questa volta accolgono la doglianza di parte ricorrente, </w:t>
      </w:r>
      <w:r w:rsidR="000F147C">
        <w:t xml:space="preserve">ma </w:t>
      </w:r>
      <w:r>
        <w:t>che</w:t>
      </w:r>
      <w:r w:rsidR="000F147C">
        <w:t xml:space="preserve"> di fatto</w:t>
      </w:r>
      <w:r>
        <w:t xml:space="preserve"> rafforza il concetto di autonomia degli enti condizionata dal rispetto dei principi di gradualità e proporzionalità e di motivazione delle scelte.</w:t>
      </w:r>
    </w:p>
    <w:p w14:paraId="432AF792" w14:textId="776BB94E" w:rsidR="002238EF" w:rsidRDefault="002238EF" w:rsidP="00E61C01">
      <w:pPr>
        <w:jc w:val="both"/>
      </w:pPr>
      <w:r>
        <w:t xml:space="preserve">I giudici ritengono infatti illegittima la tariffa forfetaria imposta dal Comune ai fini della Tassa sui Rifiuti con importo uguale per ciascun operatore non tenendo conto </w:t>
      </w:r>
      <w:r w:rsidR="000F147C">
        <w:t>né</w:t>
      </w:r>
      <w:r>
        <w:t xml:space="preserve"> delle superfici condotte, </w:t>
      </w:r>
      <w:r w:rsidR="000F147C">
        <w:t>né</w:t>
      </w:r>
      <w:r>
        <w:t xml:space="preserve"> della categoria merceologica dell’attività e neppure dei giorni di occupazione.</w:t>
      </w:r>
    </w:p>
    <w:p w14:paraId="1D6E6D00" w14:textId="598676B1" w:rsidR="002238EF" w:rsidRPr="00C90693" w:rsidRDefault="002238EF" w:rsidP="002238EF">
      <w:pPr>
        <w:jc w:val="both"/>
        <w:rPr>
          <w:i/>
          <w:iCs/>
        </w:rPr>
      </w:pPr>
      <w:r>
        <w:t>Si legge nella sentenza: “</w:t>
      </w:r>
      <w:r w:rsidRPr="00C90693">
        <w:rPr>
          <w:i/>
          <w:iCs/>
        </w:rPr>
        <w:t>6. Il primo motivo di ricorso si rivela, invece, fondato nella parte in cui</w:t>
      </w:r>
      <w:r w:rsidR="0033358A" w:rsidRPr="00C90693">
        <w:rPr>
          <w:i/>
          <w:iCs/>
        </w:rPr>
        <w:t xml:space="preserve"> </w:t>
      </w:r>
      <w:r w:rsidRPr="00C90693">
        <w:rPr>
          <w:i/>
          <w:iCs/>
        </w:rPr>
        <w:t>contesta la determinazione forfettaria di tale “quota di copertura una tantum della</w:t>
      </w:r>
      <w:r w:rsidR="00C90693" w:rsidRPr="00C90693">
        <w:rPr>
          <w:i/>
          <w:iCs/>
        </w:rPr>
        <w:t xml:space="preserve"> </w:t>
      </w:r>
      <w:r w:rsidRPr="00C90693">
        <w:rPr>
          <w:i/>
          <w:iCs/>
        </w:rPr>
        <w:t>TARI”, avuto riguardo all’assenza di parametri specifici che tengano conto</w:t>
      </w:r>
      <w:r w:rsidR="00C90693" w:rsidRPr="00C90693">
        <w:rPr>
          <w:i/>
          <w:iCs/>
        </w:rPr>
        <w:t xml:space="preserve"> </w:t>
      </w:r>
      <w:r w:rsidRPr="00C90693">
        <w:rPr>
          <w:i/>
          <w:iCs/>
        </w:rPr>
        <w:t>della superficie occupata da ogni “ambulante”, della tipologia di merce da questi</w:t>
      </w:r>
      <w:r w:rsidR="00C90693" w:rsidRPr="00C90693">
        <w:rPr>
          <w:i/>
          <w:iCs/>
        </w:rPr>
        <w:t xml:space="preserve"> </w:t>
      </w:r>
      <w:r w:rsidRPr="00C90693">
        <w:rPr>
          <w:i/>
          <w:iCs/>
        </w:rPr>
        <w:t>venduta e dei giorni di occupazione, con conseguente eccesso di potere per</w:t>
      </w:r>
      <w:r w:rsidR="00C90693" w:rsidRPr="00C90693">
        <w:rPr>
          <w:i/>
          <w:iCs/>
        </w:rPr>
        <w:t xml:space="preserve"> </w:t>
      </w:r>
      <w:r w:rsidRPr="00C90693">
        <w:rPr>
          <w:i/>
          <w:iCs/>
        </w:rPr>
        <w:t>difetto di istruttoria.</w:t>
      </w:r>
    </w:p>
    <w:p w14:paraId="305860DC" w14:textId="5AB32012" w:rsidR="002238EF" w:rsidRPr="002238EF" w:rsidRDefault="002238EF" w:rsidP="002238EF">
      <w:pPr>
        <w:jc w:val="both"/>
        <w:rPr>
          <w:i/>
          <w:iCs/>
        </w:rPr>
      </w:pPr>
      <w:r w:rsidRPr="002238EF">
        <w:rPr>
          <w:i/>
          <w:iCs/>
        </w:rPr>
        <w:t>6.1. Si rileva, infatti, come tanto il Regolamento approvato con deliberazione</w:t>
      </w:r>
      <w:r w:rsidR="00C90693">
        <w:rPr>
          <w:i/>
          <w:iCs/>
        </w:rPr>
        <w:t xml:space="preserve"> </w:t>
      </w:r>
      <w:r w:rsidRPr="002238EF">
        <w:rPr>
          <w:i/>
          <w:iCs/>
        </w:rPr>
        <w:t>del Consiglio Comunale n. 49 del 28/07/2022 e n. 17 del 04/04/2024, quanto</w:t>
      </w:r>
      <w:r w:rsidR="00C90693">
        <w:rPr>
          <w:i/>
          <w:iCs/>
        </w:rPr>
        <w:t xml:space="preserve"> </w:t>
      </w:r>
      <w:r w:rsidRPr="002238EF">
        <w:rPr>
          <w:i/>
          <w:iCs/>
        </w:rPr>
        <w:t>la successiva Deliberazione di Giunta Comunale n. 84 del 6/6/2024 abbiano</w:t>
      </w:r>
      <w:r w:rsidR="00C90693">
        <w:rPr>
          <w:i/>
          <w:iCs/>
        </w:rPr>
        <w:t xml:space="preserve"> </w:t>
      </w:r>
      <w:r w:rsidRPr="002238EF">
        <w:rPr>
          <w:i/>
          <w:iCs/>
        </w:rPr>
        <w:t>previsto un’applicazione indiscriminata della maggiorazione di euro 100,00</w:t>
      </w:r>
      <w:r w:rsidR="00C90693">
        <w:rPr>
          <w:i/>
          <w:iCs/>
        </w:rPr>
        <w:t xml:space="preserve"> </w:t>
      </w:r>
      <w:r w:rsidRPr="002238EF">
        <w:rPr>
          <w:i/>
          <w:iCs/>
        </w:rPr>
        <w:t>per ciascun esercente senza tenere conto di alcun parametro predeterminato.</w:t>
      </w:r>
    </w:p>
    <w:p w14:paraId="498892D1" w14:textId="1781EC3C" w:rsidR="002238EF" w:rsidRPr="002238EF" w:rsidRDefault="002238EF" w:rsidP="002238EF">
      <w:pPr>
        <w:jc w:val="both"/>
        <w:rPr>
          <w:i/>
          <w:iCs/>
        </w:rPr>
      </w:pPr>
      <w:r w:rsidRPr="002238EF">
        <w:rPr>
          <w:i/>
          <w:iCs/>
        </w:rPr>
        <w:t>Inoltre, l’Amministrazione non ha neppure operato alcuna differenziazione</w:t>
      </w:r>
      <w:r w:rsidR="00C90693">
        <w:rPr>
          <w:i/>
          <w:iCs/>
        </w:rPr>
        <w:t xml:space="preserve"> </w:t>
      </w:r>
      <w:r w:rsidRPr="002238EF">
        <w:rPr>
          <w:i/>
          <w:iCs/>
        </w:rPr>
        <w:t>tra gli operatori in ragione, ad esempio, della superficie occupata o della durata</w:t>
      </w:r>
      <w:r w:rsidR="00C90693">
        <w:rPr>
          <w:i/>
          <w:iCs/>
        </w:rPr>
        <w:t xml:space="preserve"> </w:t>
      </w:r>
      <w:r w:rsidRPr="002238EF">
        <w:rPr>
          <w:i/>
          <w:iCs/>
        </w:rPr>
        <w:t>dell’occupazione.</w:t>
      </w:r>
    </w:p>
    <w:p w14:paraId="06723BC0" w14:textId="17756D74" w:rsidR="002238EF" w:rsidRDefault="002238EF" w:rsidP="002238EF">
      <w:pPr>
        <w:jc w:val="both"/>
        <w:rPr>
          <w:i/>
          <w:iCs/>
        </w:rPr>
      </w:pPr>
      <w:r w:rsidRPr="00C90693">
        <w:rPr>
          <w:i/>
          <w:iCs/>
        </w:rPr>
        <w:t>Appare evidente, infatti, come l’impatto ambientale della gestione ad esempio</w:t>
      </w:r>
      <w:r w:rsidR="00C90693">
        <w:rPr>
          <w:i/>
          <w:iCs/>
        </w:rPr>
        <w:t xml:space="preserve"> </w:t>
      </w:r>
      <w:r w:rsidRPr="00C90693">
        <w:rPr>
          <w:i/>
          <w:iCs/>
        </w:rPr>
        <w:t>di una “locanda” nella quale viene effettuata attività di preparazione e</w:t>
      </w:r>
      <w:r w:rsidR="00C90693">
        <w:rPr>
          <w:i/>
          <w:iCs/>
        </w:rPr>
        <w:t xml:space="preserve"> </w:t>
      </w:r>
      <w:r w:rsidRPr="00C90693">
        <w:rPr>
          <w:i/>
          <w:iCs/>
        </w:rPr>
        <w:t>somministrazione di cibi e bevande per centinaia di persone non possa essere</w:t>
      </w:r>
      <w:r w:rsidR="00C90693">
        <w:rPr>
          <w:i/>
          <w:iCs/>
        </w:rPr>
        <w:t xml:space="preserve"> </w:t>
      </w:r>
      <w:r w:rsidRPr="00C90693">
        <w:rPr>
          <w:i/>
          <w:iCs/>
        </w:rPr>
        <w:t>paragonato a quello di chi pone in vendita prodotti tipici dell’artigianato</w:t>
      </w:r>
      <w:r w:rsidR="00C90693">
        <w:rPr>
          <w:i/>
          <w:iCs/>
        </w:rPr>
        <w:t xml:space="preserve"> </w:t>
      </w:r>
      <w:r w:rsidRPr="00C90693">
        <w:rPr>
          <w:i/>
          <w:iCs/>
        </w:rPr>
        <w:t>locale, articoli religiosi, giocattoli, articoli da regalo, bigiotteria etc.</w:t>
      </w:r>
      <w:r w:rsidR="00C90693">
        <w:rPr>
          <w:i/>
          <w:iCs/>
        </w:rPr>
        <w:t>”</w:t>
      </w:r>
    </w:p>
    <w:p w14:paraId="5C79CDF5" w14:textId="669F9F38" w:rsidR="00C90693" w:rsidRPr="00C90693" w:rsidRDefault="00790123" w:rsidP="002238EF">
      <w:pPr>
        <w:jc w:val="both"/>
      </w:pPr>
      <w:r>
        <w:t xml:space="preserve">In conclusione </w:t>
      </w:r>
      <w:r w:rsidR="000F147C">
        <w:t xml:space="preserve">dalla lettura della sentenza, </w:t>
      </w:r>
      <w:r>
        <w:t xml:space="preserve">possiamo </w:t>
      </w:r>
      <w:r w:rsidR="000F147C">
        <w:t xml:space="preserve">ricavare delle certezze su temi più volte affronatti in passato, </w:t>
      </w:r>
      <w:r>
        <w:t>ovvero che le fiere e le sagr</w:t>
      </w:r>
      <w:r w:rsidR="00EE0556">
        <w:t>e</w:t>
      </w:r>
      <w:r>
        <w:t xml:space="preserve"> sono eventi che, ancorché previsti per gli operatori del commercio ambulante, non rientrano nell’ambito del canone mercatale, espressamente rivolto alle occupazioni realizzate nei mercati. Questo garantisce ai comuni </w:t>
      </w:r>
      <w:r w:rsidR="00EE0556">
        <w:t xml:space="preserve">la possibilità </w:t>
      </w:r>
      <w:r>
        <w:t xml:space="preserve">di gestire il prelievo sulla base dell’impianto tariffario CUP e TARI dove l’autonomia è garantita dalla </w:t>
      </w:r>
      <w:r w:rsidR="00EE0556">
        <w:t>facoltà</w:t>
      </w:r>
      <w:r>
        <w:t xml:space="preserve"> di variare le tariffe base indicate dal Legislatore. Possiamo </w:t>
      </w:r>
      <w:r w:rsidR="000F147C">
        <w:t>infine</w:t>
      </w:r>
      <w:r>
        <w:t xml:space="preserve"> confermare la legittimità</w:t>
      </w:r>
      <w:r w:rsidR="00EE0556">
        <w:t xml:space="preserve"> e l’opportunità</w:t>
      </w:r>
      <w:r>
        <w:t xml:space="preserve"> di differenziare le tariffe da parte degli enti</w:t>
      </w:r>
      <w:r w:rsidR="00EE0556">
        <w:t>,</w:t>
      </w:r>
      <w:r>
        <w:t xml:space="preserve"> in relazione alle diverse caratteristiche delle singole occupazioni, purché </w:t>
      </w:r>
      <w:r w:rsidR="000F147C">
        <w:t xml:space="preserve">questa operazione avvenga </w:t>
      </w:r>
      <w:r>
        <w:t xml:space="preserve">nel rispetto dei principi generali previsti in materia fiscale. </w:t>
      </w:r>
    </w:p>
    <w:sectPr w:rsidR="00C90693" w:rsidRPr="00C906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3C"/>
    <w:rsid w:val="00060149"/>
    <w:rsid w:val="000B3F9D"/>
    <w:rsid w:val="000F147C"/>
    <w:rsid w:val="0011063C"/>
    <w:rsid w:val="002031B7"/>
    <w:rsid w:val="0022232C"/>
    <w:rsid w:val="002238EF"/>
    <w:rsid w:val="002B279A"/>
    <w:rsid w:val="002B310E"/>
    <w:rsid w:val="0033358A"/>
    <w:rsid w:val="003E1723"/>
    <w:rsid w:val="006235D7"/>
    <w:rsid w:val="006F5AF2"/>
    <w:rsid w:val="00772ECE"/>
    <w:rsid w:val="00790123"/>
    <w:rsid w:val="007B1496"/>
    <w:rsid w:val="007B73A3"/>
    <w:rsid w:val="00B65DD0"/>
    <w:rsid w:val="00C90693"/>
    <w:rsid w:val="00CF42DA"/>
    <w:rsid w:val="00E61C01"/>
    <w:rsid w:val="00EE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4B20"/>
  <w15:chartTrackingRefBased/>
  <w15:docId w15:val="{CC1C1551-ECC5-4FFB-99F7-0E040614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063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063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06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06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06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06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06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06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063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063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14</cp:revision>
  <dcterms:created xsi:type="dcterms:W3CDTF">2025-05-29T09:41:00Z</dcterms:created>
  <dcterms:modified xsi:type="dcterms:W3CDTF">2025-05-30T07:49:00Z</dcterms:modified>
</cp:coreProperties>
</file>