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1B2877" w14:textId="77777777" w:rsidR="00A0104F" w:rsidRDefault="00A0104F" w:rsidP="00D518A4">
      <w:pPr>
        <w:jc w:val="both"/>
      </w:pPr>
    </w:p>
    <w:p w14:paraId="7535A254" w14:textId="77777777" w:rsidR="00A0104F" w:rsidRDefault="00A0104F" w:rsidP="00D518A4">
      <w:pPr>
        <w:jc w:val="both"/>
      </w:pPr>
    </w:p>
    <w:p w14:paraId="3BEFC5DE" w14:textId="77777777" w:rsidR="00A0104F" w:rsidRDefault="00A0104F" w:rsidP="00D518A4">
      <w:pPr>
        <w:jc w:val="both"/>
      </w:pPr>
    </w:p>
    <w:p w14:paraId="1F621691" w14:textId="37474D5C" w:rsidR="00AD71B5" w:rsidRDefault="00A0104F" w:rsidP="00D518A4">
      <w:pPr>
        <w:jc w:val="both"/>
      </w:pPr>
      <w:r>
        <w:t>In riferimento alle argomentazioni presentate nel riscontro alla nostra richiesta di pagamento Cup per l’occupazione temporanea necessaria per gli interventi sulla rate idrica gestita dalla Acquedotto Pugliese SPA, con la presente si conferma la richiesta e si significa</w:t>
      </w:r>
      <w:r w:rsidR="00AD71B5">
        <w:t xml:space="preserve"> sommariamente quanto segue:</w:t>
      </w:r>
    </w:p>
    <w:p w14:paraId="5FF35801" w14:textId="3329ABA5" w:rsidR="00A0104F" w:rsidRDefault="00AD71B5" w:rsidP="00AD71B5">
      <w:pPr>
        <w:pStyle w:val="Paragrafoelenco"/>
        <w:numPr>
          <w:ilvl w:val="0"/>
          <w:numId w:val="2"/>
        </w:numPr>
        <w:jc w:val="both"/>
      </w:pPr>
      <w:r>
        <w:t xml:space="preserve">L’occupazione in parola è di natura temporanea e afferisce allo spazio pubblico sottratto alla collettività per gli interventi alla rete idrica. Viene svolta da una impresa che non può godere in nessun caso di alcuna agevolazione fiscale in materia di CUP. Come già precedentemente detto non assume alcun rilievo la disposizione di esenzione di cui alla lettera D del comma 833 riservata all’ipotesi in cui degli impianti vengano devoluti gratuitamente al Comune al termine della concessione, ipotesi prevista per le occupazioni permanenti. </w:t>
      </w:r>
    </w:p>
    <w:p w14:paraId="3E949C12" w14:textId="77777777" w:rsidR="0090075E" w:rsidRDefault="00AD71B5" w:rsidP="00AD71B5">
      <w:pPr>
        <w:pStyle w:val="Paragrafoelenco"/>
        <w:jc w:val="both"/>
      </w:pPr>
      <w:r>
        <w:t xml:space="preserve">L’impresa che esegue i lavori per conto della </w:t>
      </w:r>
      <w:r>
        <w:t>Acquedotto Pugliese SPA</w:t>
      </w:r>
      <w:r>
        <w:t xml:space="preserve"> è invece carente </w:t>
      </w:r>
      <w:r w:rsidR="0090075E">
        <w:t>sia dei</w:t>
      </w:r>
      <w:r>
        <w:t xml:space="preserve"> requisiti oggetti </w:t>
      </w:r>
      <w:r w:rsidR="0090075E">
        <w:t>ch</w:t>
      </w:r>
      <w:r>
        <w:t>e soggettivi per godere di qualunque ipotesi di esenzione</w:t>
      </w:r>
      <w:r w:rsidR="0090075E">
        <w:t>,</w:t>
      </w:r>
      <w:r>
        <w:t xml:space="preserve"> e nessun dubbio si pone sulla sua soggettività passiva al canone. </w:t>
      </w:r>
    </w:p>
    <w:p w14:paraId="73FBF62E" w14:textId="77777777" w:rsidR="0090075E" w:rsidRDefault="00AD71B5" w:rsidP="0090075E">
      <w:pPr>
        <w:pStyle w:val="Paragrafoelenco"/>
        <w:jc w:val="both"/>
        <w:rPr>
          <w:i/>
          <w:iCs/>
        </w:rPr>
      </w:pPr>
      <w:r>
        <w:t xml:space="preserve">A tal proposito </w:t>
      </w:r>
      <w:r w:rsidR="0090075E">
        <w:t xml:space="preserve">giova  richiamare la sentenza di Corte di Cassazione </w:t>
      </w:r>
      <w:r w:rsidR="0090075E">
        <w:t xml:space="preserve"> n. 2653 del 2020 nella quale si legge che: </w:t>
      </w:r>
      <w:r w:rsidR="0090075E" w:rsidRPr="0070013D">
        <w:rPr>
          <w:i/>
          <w:iCs/>
        </w:rPr>
        <w:t>“Secondo l'orientamento di questa Corte «In tema di tassa per l'occupazione di spazi ed aree pubbliche (TOSAP), l'esenzione prevista per lo Stato e per gli altri enti pubblici dall'art. 49, comma 1, lett. a), del d.lgs. n. 507 del 1993, postula che l'occupazione sia ascrivibile al soggetto esente» e non al soggetto che agisca in qualità di concessionaria per la realizzazione di un'opera pubblica, restando irrilevante che l'opera sia di proprietà dello Stato o di un altro degli enti pubblici equiparati dalla norma in questione (v. Cass. n. 19693 del 2018; Cass. n. 11886 del 2017).”</w:t>
      </w:r>
    </w:p>
    <w:p w14:paraId="5C10E6D6" w14:textId="0D3AB2A2" w:rsidR="0090075E" w:rsidRDefault="0090075E" w:rsidP="0090075E">
      <w:pPr>
        <w:pStyle w:val="Paragrafoelenco"/>
        <w:jc w:val="both"/>
        <w:rPr>
          <w:i/>
          <w:iCs/>
        </w:rPr>
      </w:pPr>
      <w:r>
        <w:t>Dello stesso parere la Corte dei Conti Piemonte, che in un recente parere (</w:t>
      </w:r>
      <w:r w:rsidRPr="0090075E">
        <w:t>Deliberazione n. 80/2024/SRCPIE/PAR</w:t>
      </w:r>
      <w:r>
        <w:t xml:space="preserve">) rilasciato su tema, scrive: </w:t>
      </w:r>
      <w:r w:rsidRPr="00CF1CCF">
        <w:rPr>
          <w:i/>
          <w:iCs/>
        </w:rPr>
        <w:t>“</w:t>
      </w:r>
      <w:r>
        <w:rPr>
          <w:i/>
          <w:iCs/>
        </w:rPr>
        <w:t>…</w:t>
      </w:r>
      <w:r w:rsidRPr="00CF1CCF">
        <w:rPr>
          <w:i/>
          <w:iCs/>
        </w:rPr>
        <w:t>rilevando quale presupposto impositivo del canone il fatto in sé delle “occupazioni “effettuate” su “aree appartenenti al demanio o al patrimonio indisponibile degli enti” o su “spazi soprastanti o sottostanti il suolo pubblico”, qualsiasi intervento dell’impresa appaltatrice su tali aree o spazi ne presuppone una previa occupazione che non la sottrae al pagamento del canone, a nulla rilevando che l’esecuzione dell’appalto si realizzi per conto di uno qualsiasi dei soggetti beneficiari ex lege.”</w:t>
      </w:r>
    </w:p>
    <w:p w14:paraId="4C02BA56" w14:textId="77777777" w:rsidR="00396C79" w:rsidRPr="0090075E" w:rsidRDefault="00396C79" w:rsidP="0090075E">
      <w:pPr>
        <w:pStyle w:val="Paragrafoelenco"/>
        <w:jc w:val="both"/>
        <w:rPr>
          <w:i/>
          <w:iCs/>
        </w:rPr>
      </w:pPr>
    </w:p>
    <w:p w14:paraId="1F96C545" w14:textId="2DB9E430" w:rsidR="0090075E" w:rsidRDefault="00396C79" w:rsidP="00396C79">
      <w:pPr>
        <w:pStyle w:val="Paragrafoelenco"/>
        <w:numPr>
          <w:ilvl w:val="0"/>
          <w:numId w:val="2"/>
        </w:numPr>
        <w:jc w:val="both"/>
      </w:pPr>
      <w:r>
        <w:t>Precisato che l’occupazione temporanea realizzata per gli interventi sulla rete idrica rientra nell’ambito applicativo CUP e il soggetto passivo non può godere di alcuna esenzione, è utile precisare che, anche per quanto riguarda la rete stessa, questa comporta a carico di chi eroga il servizio, a qualunque titolo la conduca, il pagamento del canone disciplinato al comma 831 della Legge 160/2019. Canone voluto dal Legislatore a carico di tutte le aziende che erogano pubblici servizi, tra cui viene richiamato espressamente anche il servizio di erogazione dell’acqua. Questo indipendentemente dalla proprietà della rete idrica che, in base alla normativa,</w:t>
      </w:r>
      <w:r w:rsidR="00A57EE1">
        <w:t xml:space="preserve"> deve essere pubblica, data in uso gratuito al gestore del servizio. Il presupposto per il pagamento del canone di cui al comma 831 non è quindi legato alla proprietà della rete (il Legislatore nello scrivere il comma 831, sapeva bene che la proprietà non poteva altro che essere pubblica), ma bensì al suo uso e all’erogazione del servizio pubblico. Ecco perché la società </w:t>
      </w:r>
      <w:r w:rsidR="00A57EE1">
        <w:t>Acquedotto Pugliese SPA</w:t>
      </w:r>
      <w:r w:rsidR="00A57EE1">
        <w:t xml:space="preserve">, al pari delle altre società che gestiscono le reti idriche in Italia, è soggetto passivo del canone ex comma 831. </w:t>
      </w:r>
    </w:p>
    <w:p w14:paraId="277DE42E" w14:textId="59AEBD05" w:rsidR="00A57EE1" w:rsidRDefault="00A57EE1" w:rsidP="00A57EE1">
      <w:pPr>
        <w:pStyle w:val="Paragrafoelenco"/>
        <w:jc w:val="both"/>
      </w:pPr>
      <w:r>
        <w:t xml:space="preserve">Chiaramente potrà trovare applicazione neanche in questo caso l’esenzione della </w:t>
      </w:r>
      <w:proofErr w:type="spellStart"/>
      <w:r>
        <w:t>legttera</w:t>
      </w:r>
      <w:proofErr w:type="spellEnd"/>
      <w:r>
        <w:t xml:space="preserve"> D del comma 833, in quanto non si realizza quella condizione di beneficio prevista a favore del Comune. Non sarà possibile infatti precedere alcuna devoluzione gratuita al termine della concessione a favore dell’ente, trattandosi già di impianti di sua proprietà.</w:t>
      </w:r>
    </w:p>
    <w:p w14:paraId="66480D82" w14:textId="77777777" w:rsidR="00A57EE1" w:rsidRDefault="00A57EE1" w:rsidP="00A57EE1">
      <w:pPr>
        <w:pStyle w:val="Paragrafoelenco"/>
        <w:jc w:val="both"/>
      </w:pPr>
    </w:p>
    <w:p w14:paraId="76386C9A" w14:textId="52C92977" w:rsidR="00A57EE1" w:rsidRDefault="00A57EE1" w:rsidP="00A57EE1">
      <w:pPr>
        <w:pStyle w:val="Paragrafoelenco"/>
        <w:numPr>
          <w:ilvl w:val="0"/>
          <w:numId w:val="2"/>
        </w:numPr>
        <w:jc w:val="both"/>
      </w:pPr>
      <w:r>
        <w:lastRenderedPageBreak/>
        <w:t xml:space="preserve">Infine, in merito al divieto di introdurre canoni di concessione per l’uso della rete del servizio idrico integrato, questo non riguarda le due casistiche affrontate (quella dell’occupazione temporanea per gli interventi e quella dell’occupazione permanente per l’uso della rete per l’erogazione del servizio). Il divieto riguarda solo un eventuale </w:t>
      </w:r>
      <w:r w:rsidR="008A3913">
        <w:t xml:space="preserve">nuovo e diverso </w:t>
      </w:r>
      <w:r>
        <w:t>canone deciso dall’amministrazione locale da porre in capo al gestore della rete. Il CUP</w:t>
      </w:r>
      <w:r w:rsidR="008A3913">
        <w:t>, come noto,</w:t>
      </w:r>
      <w:r>
        <w:t xml:space="preserve"> è stato istituito dal Legislatore e in particolare il canone disciplinato dal comma 831 non è in alcun modo modificabile dai Comuni</w:t>
      </w:r>
      <w:r w:rsidR="008A3913">
        <w:t xml:space="preserve"> che non possono neppure intervenire sulla sua definizione tariffaria.</w:t>
      </w:r>
    </w:p>
    <w:p w14:paraId="1F50D219" w14:textId="16B46064" w:rsidR="008A3913" w:rsidRDefault="008A3913" w:rsidP="008A3913">
      <w:pPr>
        <w:jc w:val="both"/>
      </w:pPr>
      <w:r>
        <w:t xml:space="preserve">Non resta quindi che confermare la posizione che prevede il pagamento da parte dell’impresa che occupa temporaneamente il suolo pubblico per il cantiere necessario agli interventi sulla rete, oltre al pagamento da parte della stessa Acquedotti Pugliesi SpA per il canone permanente ex comma 831 da quantificare in base alla tariffa definita dal Legislatore moltiplicata per </w:t>
      </w:r>
      <w:proofErr w:type="gramStart"/>
      <w:r>
        <w:t>il  numero</w:t>
      </w:r>
      <w:proofErr w:type="gramEnd"/>
      <w:r>
        <w:t xml:space="preserve"> di utenze attive servite dal servizio nell’ambito del territorio comunale.</w:t>
      </w:r>
    </w:p>
    <w:sectPr w:rsidR="008A391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3672255C"/>
    <w:lvl w:ilvl="0">
      <w:start w:val="1"/>
      <w:numFmt w:val="bullet"/>
      <w:pStyle w:val="Puntoelenco"/>
      <w:lvlText w:val=""/>
      <w:lvlJc w:val="left"/>
      <w:pPr>
        <w:tabs>
          <w:tab w:val="num" w:pos="360"/>
        </w:tabs>
        <w:ind w:left="360" w:hanging="360"/>
      </w:pPr>
      <w:rPr>
        <w:rFonts w:ascii="Symbol" w:hAnsi="Symbol" w:hint="default"/>
      </w:rPr>
    </w:lvl>
  </w:abstractNum>
  <w:abstractNum w:abstractNumId="1" w15:restartNumberingAfterBreak="0">
    <w:nsid w:val="23D439A0"/>
    <w:multiLevelType w:val="hybridMultilevel"/>
    <w:tmpl w:val="4B44FC5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3DB34A32"/>
    <w:multiLevelType w:val="hybridMultilevel"/>
    <w:tmpl w:val="3A9E20F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102069504">
    <w:abstractNumId w:val="2"/>
  </w:num>
  <w:num w:numId="2" w16cid:durableId="1100881779">
    <w:abstractNumId w:val="1"/>
  </w:num>
  <w:num w:numId="3" w16cid:durableId="1544438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AD0"/>
    <w:rsid w:val="00060149"/>
    <w:rsid w:val="000B361C"/>
    <w:rsid w:val="00396C79"/>
    <w:rsid w:val="00536B7F"/>
    <w:rsid w:val="00625AD0"/>
    <w:rsid w:val="006E4763"/>
    <w:rsid w:val="008A3913"/>
    <w:rsid w:val="008E3D8A"/>
    <w:rsid w:val="0090075E"/>
    <w:rsid w:val="00A0104F"/>
    <w:rsid w:val="00A51030"/>
    <w:rsid w:val="00A57EE1"/>
    <w:rsid w:val="00AD71B5"/>
    <w:rsid w:val="00B11634"/>
    <w:rsid w:val="00B93296"/>
    <w:rsid w:val="00D518A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DF81A"/>
  <w15:chartTrackingRefBased/>
  <w15:docId w15:val="{A1C9914E-EF67-43C6-8AD5-82DF50EFB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B93296"/>
    <w:pPr>
      <w:ind w:left="720"/>
      <w:contextualSpacing/>
    </w:pPr>
  </w:style>
  <w:style w:type="paragraph" w:styleId="Puntoelenco">
    <w:name w:val="List Bullet"/>
    <w:basedOn w:val="Normale"/>
    <w:uiPriority w:val="99"/>
    <w:unhideWhenUsed/>
    <w:rsid w:val="00AD71B5"/>
    <w:pPr>
      <w:numPr>
        <w:numId w:val="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2</Pages>
  <Words>758</Words>
  <Characters>4327</Characters>
  <Application>Microsoft Office Word</Application>
  <DocSecurity>0</DocSecurity>
  <Lines>36</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7</cp:revision>
  <dcterms:created xsi:type="dcterms:W3CDTF">2024-04-23T11:04:00Z</dcterms:created>
  <dcterms:modified xsi:type="dcterms:W3CDTF">2024-05-02T13:10:00Z</dcterms:modified>
</cp:coreProperties>
</file>