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A895D" w14:textId="77777777" w:rsidR="00CF097C" w:rsidRPr="0065633C" w:rsidRDefault="00CF097C" w:rsidP="00CF097C">
      <w:pPr>
        <w:pStyle w:val="Testonormale"/>
        <w:jc w:val="both"/>
        <w:rPr>
          <w:b/>
          <w:bCs/>
          <w:sz w:val="24"/>
          <w:szCs w:val="24"/>
        </w:rPr>
      </w:pPr>
      <w:r w:rsidRPr="0065633C">
        <w:rPr>
          <w:b/>
          <w:bCs/>
          <w:sz w:val="24"/>
          <w:szCs w:val="24"/>
        </w:rPr>
        <w:t>Quesito:  Si chiede di sapere se un'impresa che segue lavori di manutenzione sul Palazzo Municipale sia soggetta al pagamento relativo alla occupazione del suolo pubblico (impalcature).</w:t>
      </w:r>
    </w:p>
    <w:p w14:paraId="39B229BD" w14:textId="77777777" w:rsidR="00CF097C" w:rsidRDefault="00CF097C" w:rsidP="00CF097C">
      <w:pPr>
        <w:pStyle w:val="Testonormale"/>
        <w:jc w:val="both"/>
        <w:rPr>
          <w:sz w:val="24"/>
          <w:szCs w:val="24"/>
        </w:rPr>
      </w:pPr>
    </w:p>
    <w:p w14:paraId="24D94619" w14:textId="77777777" w:rsidR="0065633C" w:rsidRDefault="00CF097C" w:rsidP="00CF097C">
      <w:pPr>
        <w:pStyle w:val="Testonormale"/>
        <w:jc w:val="both"/>
        <w:rPr>
          <w:sz w:val="24"/>
          <w:szCs w:val="24"/>
        </w:rPr>
      </w:pPr>
      <w:r>
        <w:rPr>
          <w:sz w:val="24"/>
          <w:szCs w:val="24"/>
        </w:rPr>
        <w:t xml:space="preserve">Risposta: </w:t>
      </w:r>
    </w:p>
    <w:p w14:paraId="0253E6B6" w14:textId="16CF17B6" w:rsidR="00CF097C" w:rsidRDefault="0065633C" w:rsidP="00CF097C">
      <w:pPr>
        <w:pStyle w:val="Testonormale"/>
        <w:jc w:val="both"/>
        <w:rPr>
          <w:sz w:val="24"/>
          <w:szCs w:val="24"/>
        </w:rPr>
      </w:pPr>
      <w:r>
        <w:rPr>
          <w:sz w:val="24"/>
          <w:szCs w:val="24"/>
        </w:rPr>
        <w:t>I</w:t>
      </w:r>
      <w:r w:rsidR="00CF097C">
        <w:rPr>
          <w:sz w:val="24"/>
          <w:szCs w:val="24"/>
        </w:rPr>
        <w:t xml:space="preserve">l quesito è molto interessante perché tocca un tema che ha registrato nel corso degli anni </w:t>
      </w:r>
      <w:r>
        <w:rPr>
          <w:sz w:val="24"/>
          <w:szCs w:val="24"/>
        </w:rPr>
        <w:t>orientamenti</w:t>
      </w:r>
      <w:r w:rsidR="00CF097C">
        <w:rPr>
          <w:sz w:val="24"/>
          <w:szCs w:val="24"/>
        </w:rPr>
        <w:t xml:space="preserve"> di segno opposto.</w:t>
      </w:r>
    </w:p>
    <w:p w14:paraId="1FCD82E7" w14:textId="77777777" w:rsidR="00CF097C" w:rsidRDefault="00CF097C" w:rsidP="00CF097C">
      <w:pPr>
        <w:pStyle w:val="Testonormale"/>
        <w:jc w:val="both"/>
        <w:rPr>
          <w:sz w:val="24"/>
          <w:szCs w:val="24"/>
        </w:rPr>
      </w:pPr>
    </w:p>
    <w:p w14:paraId="352C5BE7" w14:textId="68704F9E" w:rsidR="00C53297" w:rsidRDefault="00C53297" w:rsidP="00CF097C">
      <w:pPr>
        <w:pStyle w:val="Testonormale"/>
        <w:jc w:val="both"/>
        <w:rPr>
          <w:i/>
          <w:iCs/>
          <w:sz w:val="24"/>
          <w:szCs w:val="24"/>
        </w:rPr>
      </w:pPr>
      <w:r>
        <w:rPr>
          <w:sz w:val="24"/>
          <w:szCs w:val="24"/>
        </w:rPr>
        <w:t xml:space="preserve">Innanzi tutto vediamo cosa prevede l’attuale norma contenuta nella disciplina del Canone Unico.  </w:t>
      </w:r>
      <w:r w:rsidRPr="00C53297">
        <w:rPr>
          <w:sz w:val="24"/>
          <w:szCs w:val="24"/>
        </w:rPr>
        <w:t xml:space="preserve">Il comma 833, articolo 1 della Legge 160/2019 </w:t>
      </w:r>
      <w:r>
        <w:rPr>
          <w:sz w:val="24"/>
          <w:szCs w:val="24"/>
        </w:rPr>
        <w:t>dispone</w:t>
      </w:r>
      <w:r w:rsidRPr="00C53297">
        <w:rPr>
          <w:sz w:val="24"/>
          <w:szCs w:val="24"/>
        </w:rPr>
        <w:t xml:space="preserve"> alla lettera A: </w:t>
      </w:r>
      <w:r w:rsidRPr="00C53297">
        <w:rPr>
          <w:i/>
          <w:iCs/>
          <w:sz w:val="24"/>
          <w:szCs w:val="24"/>
        </w:rPr>
        <w:t>“833. Sono esenti dal canone: le occupazioni effettuate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 917, per finalità specifiche di assistenza, previdenza, sanità, educazione, cultura e ricerca scientifica;”</w:t>
      </w:r>
      <w:r w:rsidR="003E71F3">
        <w:rPr>
          <w:i/>
          <w:iCs/>
          <w:sz w:val="24"/>
          <w:szCs w:val="24"/>
        </w:rPr>
        <w:t>.</w:t>
      </w:r>
    </w:p>
    <w:p w14:paraId="02253509" w14:textId="77777777" w:rsidR="003E71F3" w:rsidRDefault="003E71F3" w:rsidP="00CF097C">
      <w:pPr>
        <w:pStyle w:val="Testonormale"/>
        <w:jc w:val="both"/>
        <w:rPr>
          <w:i/>
          <w:iCs/>
          <w:sz w:val="24"/>
          <w:szCs w:val="24"/>
        </w:rPr>
      </w:pPr>
    </w:p>
    <w:p w14:paraId="5E0AB331" w14:textId="77777777" w:rsidR="0065633C" w:rsidRDefault="00C53297" w:rsidP="00CF097C">
      <w:pPr>
        <w:pStyle w:val="Testonormale"/>
        <w:jc w:val="both"/>
        <w:rPr>
          <w:sz w:val="24"/>
          <w:szCs w:val="24"/>
        </w:rPr>
      </w:pPr>
      <w:r>
        <w:rPr>
          <w:sz w:val="24"/>
          <w:szCs w:val="24"/>
        </w:rPr>
        <w:t xml:space="preserve">Norme che ripercorre le stesse </w:t>
      </w:r>
      <w:r w:rsidR="00850E48">
        <w:rPr>
          <w:sz w:val="24"/>
          <w:szCs w:val="24"/>
        </w:rPr>
        <w:t xml:space="preserve">identiche </w:t>
      </w:r>
      <w:r>
        <w:rPr>
          <w:sz w:val="24"/>
          <w:szCs w:val="24"/>
        </w:rPr>
        <w:t>ipotesi di esenzione già previste per le occupazioni realizzate in regime TOSAP</w:t>
      </w:r>
      <w:r w:rsidR="00850E48">
        <w:rPr>
          <w:sz w:val="24"/>
          <w:szCs w:val="24"/>
        </w:rPr>
        <w:t xml:space="preserve"> (vedi </w:t>
      </w:r>
      <w:r w:rsidR="00850E48" w:rsidRPr="00850E48">
        <w:rPr>
          <w:sz w:val="24"/>
          <w:szCs w:val="24"/>
        </w:rPr>
        <w:t>articolo 49 del D.Lgs 507/93</w:t>
      </w:r>
      <w:r w:rsidR="00850E48">
        <w:rPr>
          <w:sz w:val="24"/>
          <w:szCs w:val="24"/>
        </w:rPr>
        <w:t>)</w:t>
      </w:r>
      <w:r>
        <w:rPr>
          <w:sz w:val="24"/>
          <w:szCs w:val="24"/>
        </w:rPr>
        <w:t xml:space="preserve">. </w:t>
      </w:r>
    </w:p>
    <w:p w14:paraId="4F9356CD" w14:textId="1796089E" w:rsidR="00C53297" w:rsidRDefault="00C53297" w:rsidP="00CF097C">
      <w:pPr>
        <w:pStyle w:val="Testonormale"/>
        <w:jc w:val="both"/>
        <w:rPr>
          <w:sz w:val="24"/>
          <w:szCs w:val="24"/>
        </w:rPr>
      </w:pPr>
      <w:r>
        <w:rPr>
          <w:sz w:val="24"/>
          <w:szCs w:val="24"/>
        </w:rPr>
        <w:t xml:space="preserve">Ancora una volta </w:t>
      </w:r>
      <w:r w:rsidR="0065633C">
        <w:rPr>
          <w:sz w:val="24"/>
          <w:szCs w:val="24"/>
        </w:rPr>
        <w:t xml:space="preserve">quindi </w:t>
      </w:r>
      <w:r>
        <w:rPr>
          <w:sz w:val="24"/>
          <w:szCs w:val="24"/>
        </w:rPr>
        <w:t xml:space="preserve">la disciplina del nuovo canone va in continuità con il passato, così che la </w:t>
      </w:r>
      <w:r w:rsidR="003E71F3">
        <w:rPr>
          <w:sz w:val="24"/>
          <w:szCs w:val="24"/>
        </w:rPr>
        <w:t>giurisprudenza</w:t>
      </w:r>
      <w:r>
        <w:rPr>
          <w:sz w:val="24"/>
          <w:szCs w:val="24"/>
        </w:rPr>
        <w:t xml:space="preserve"> e  gli orientamenti formati in materia di TOSAP o Cosap, possiamo </w:t>
      </w:r>
      <w:r w:rsidR="00850E48">
        <w:rPr>
          <w:sz w:val="24"/>
          <w:szCs w:val="24"/>
        </w:rPr>
        <w:t>valutarli</w:t>
      </w:r>
      <w:r>
        <w:rPr>
          <w:sz w:val="24"/>
          <w:szCs w:val="24"/>
        </w:rPr>
        <w:t xml:space="preserve"> </w:t>
      </w:r>
      <w:r w:rsidR="003E71F3">
        <w:rPr>
          <w:sz w:val="24"/>
          <w:szCs w:val="24"/>
        </w:rPr>
        <w:t xml:space="preserve">anche </w:t>
      </w:r>
      <w:r>
        <w:rPr>
          <w:sz w:val="24"/>
          <w:szCs w:val="24"/>
        </w:rPr>
        <w:t xml:space="preserve">con </w:t>
      </w:r>
      <w:r w:rsidR="0065633C">
        <w:rPr>
          <w:sz w:val="24"/>
          <w:szCs w:val="24"/>
        </w:rPr>
        <w:t>riferimento al</w:t>
      </w:r>
      <w:r>
        <w:rPr>
          <w:sz w:val="24"/>
          <w:szCs w:val="24"/>
        </w:rPr>
        <w:t>l’attuale regime CUP.</w:t>
      </w:r>
    </w:p>
    <w:p w14:paraId="2A61FF65" w14:textId="77777777" w:rsidR="00C53297" w:rsidRPr="00C53297" w:rsidRDefault="00C53297" w:rsidP="00CF097C">
      <w:pPr>
        <w:pStyle w:val="Testonormale"/>
        <w:jc w:val="both"/>
        <w:rPr>
          <w:sz w:val="24"/>
          <w:szCs w:val="24"/>
        </w:rPr>
      </w:pPr>
    </w:p>
    <w:p w14:paraId="01B882F9" w14:textId="510E34C1" w:rsidR="00C53297" w:rsidRDefault="00C53297" w:rsidP="00CF097C">
      <w:pPr>
        <w:pStyle w:val="Testonormale"/>
        <w:jc w:val="both"/>
        <w:rPr>
          <w:sz w:val="24"/>
          <w:szCs w:val="24"/>
        </w:rPr>
      </w:pPr>
      <w:r>
        <w:rPr>
          <w:sz w:val="24"/>
          <w:szCs w:val="24"/>
        </w:rPr>
        <w:t>Per rispondere al quesito partiamo da</w:t>
      </w:r>
      <w:r w:rsidR="00DC4968">
        <w:rPr>
          <w:sz w:val="24"/>
          <w:szCs w:val="24"/>
        </w:rPr>
        <w:t>l</w:t>
      </w:r>
      <w:r>
        <w:rPr>
          <w:sz w:val="24"/>
          <w:szCs w:val="24"/>
        </w:rPr>
        <w:t xml:space="preserve"> più recente orientamento che vuole le occupazioni </w:t>
      </w:r>
      <w:r w:rsidR="00DC4968">
        <w:rPr>
          <w:sz w:val="24"/>
          <w:szCs w:val="24"/>
        </w:rPr>
        <w:t>come quella descritta nel quesito</w:t>
      </w:r>
      <w:r w:rsidR="003E71F3">
        <w:rPr>
          <w:sz w:val="24"/>
          <w:szCs w:val="24"/>
        </w:rPr>
        <w:t>,</w:t>
      </w:r>
      <w:r w:rsidR="00DC4968">
        <w:rPr>
          <w:sz w:val="24"/>
          <w:szCs w:val="24"/>
        </w:rPr>
        <w:t xml:space="preserve"> soggette al pagamento, salvo espressa disposizione regolamentare (ricordiamo come il Legislatore al comma 821 L. 160/2019 </w:t>
      </w:r>
      <w:r w:rsidR="0027671B">
        <w:rPr>
          <w:sz w:val="24"/>
          <w:szCs w:val="24"/>
        </w:rPr>
        <w:t>ha</w:t>
      </w:r>
      <w:r w:rsidR="00DC4968">
        <w:rPr>
          <w:sz w:val="24"/>
          <w:szCs w:val="24"/>
        </w:rPr>
        <w:t xml:space="preserve"> previsto la </w:t>
      </w:r>
      <w:r w:rsidR="008944A3">
        <w:rPr>
          <w:sz w:val="24"/>
          <w:szCs w:val="24"/>
        </w:rPr>
        <w:t>facoltà</w:t>
      </w:r>
      <w:r w:rsidR="00DC4968">
        <w:rPr>
          <w:sz w:val="24"/>
          <w:szCs w:val="24"/>
        </w:rPr>
        <w:t xml:space="preserve"> per gli enti locali di disciplinare ulteriori forme di esenzione </w:t>
      </w:r>
      <w:r w:rsidR="0027671B">
        <w:rPr>
          <w:sz w:val="24"/>
          <w:szCs w:val="24"/>
        </w:rPr>
        <w:t>rispetto</w:t>
      </w:r>
      <w:r w:rsidR="00DC4968">
        <w:rPr>
          <w:sz w:val="24"/>
          <w:szCs w:val="24"/>
        </w:rPr>
        <w:t xml:space="preserve"> a quelle </w:t>
      </w:r>
      <w:r w:rsidR="003E71F3">
        <w:rPr>
          <w:sz w:val="24"/>
          <w:szCs w:val="24"/>
        </w:rPr>
        <w:t>indicate nel</w:t>
      </w:r>
      <w:r w:rsidR="00DC4968">
        <w:rPr>
          <w:sz w:val="24"/>
          <w:szCs w:val="24"/>
        </w:rPr>
        <w:t xml:space="preserve"> comma 833).</w:t>
      </w:r>
    </w:p>
    <w:p w14:paraId="491EDA6A" w14:textId="77777777" w:rsidR="00DC4968" w:rsidRPr="00C53297" w:rsidRDefault="00DC4968" w:rsidP="00CF097C">
      <w:pPr>
        <w:pStyle w:val="Testonormale"/>
        <w:jc w:val="both"/>
        <w:rPr>
          <w:sz w:val="24"/>
          <w:szCs w:val="24"/>
        </w:rPr>
      </w:pPr>
    </w:p>
    <w:p w14:paraId="0388BC20" w14:textId="5CB9996A" w:rsidR="00C53297" w:rsidRDefault="003E71F3" w:rsidP="00C53297">
      <w:pPr>
        <w:pStyle w:val="Testonormale"/>
        <w:jc w:val="both"/>
        <w:rPr>
          <w:i/>
          <w:iCs/>
          <w:sz w:val="24"/>
          <w:szCs w:val="24"/>
        </w:rPr>
      </w:pPr>
      <w:r w:rsidRPr="003E71F3">
        <w:rPr>
          <w:sz w:val="24"/>
          <w:szCs w:val="24"/>
          <w:u w:val="single"/>
        </w:rPr>
        <w:t>Oggi, la più recente giurisprudenza porta a</w:t>
      </w:r>
      <w:r w:rsidR="00C53297" w:rsidRPr="003E71F3">
        <w:rPr>
          <w:sz w:val="24"/>
          <w:szCs w:val="24"/>
          <w:u w:val="single"/>
        </w:rPr>
        <w:t xml:space="preserve"> ritenere l’esenzione applicabile solo quando direttamente ascrivibile al soggetto esente</w:t>
      </w:r>
      <w:r w:rsidR="00C53297" w:rsidRPr="00C53297">
        <w:rPr>
          <w:sz w:val="24"/>
          <w:szCs w:val="24"/>
        </w:rPr>
        <w:t>. Nella Sentenza n. 2653</w:t>
      </w:r>
      <w:r>
        <w:rPr>
          <w:sz w:val="24"/>
          <w:szCs w:val="24"/>
        </w:rPr>
        <w:t>/</w:t>
      </w:r>
      <w:r w:rsidR="00C53297" w:rsidRPr="00C53297">
        <w:rPr>
          <w:sz w:val="24"/>
          <w:szCs w:val="24"/>
        </w:rPr>
        <w:t xml:space="preserve">2020 della Sezione 5 di Corte di Cassazione si legge che: </w:t>
      </w:r>
      <w:r w:rsidR="00C53297" w:rsidRPr="003E71F3">
        <w:rPr>
          <w:i/>
          <w:iCs/>
          <w:sz w:val="24"/>
          <w:szCs w:val="24"/>
        </w:rPr>
        <w:t xml:space="preserve">“Secondo l'orientamento di questa Corte «In tema di tassa per l'occupazione di spazi ed aree pubbliche (TOSAP), l'esenzione prevista per lo Stato e per gli altri enti pubblici dall'art. 49, comma 1, lett. a), del d.lgs. n. 507 del 1993, postula che l'occupazione sia ascrivibile al soggetto esente» e non al soggetto che agisca in qualità di concessionaria per la realizzazione di un'opera pubblica, restando irrilevante che l'opera sia di proprietà dello Stato o di un altro degli enti pubblici equiparati dalla norma in questione (v. Cass. n. 19693 del 2018; Cass. n. 11886 del 2017).” </w:t>
      </w:r>
    </w:p>
    <w:p w14:paraId="3293BB58" w14:textId="77777777" w:rsidR="003E71F3" w:rsidRPr="003E71F3" w:rsidRDefault="003E71F3" w:rsidP="00C53297">
      <w:pPr>
        <w:pStyle w:val="Testonormale"/>
        <w:jc w:val="both"/>
        <w:rPr>
          <w:i/>
          <w:iCs/>
          <w:sz w:val="24"/>
          <w:szCs w:val="24"/>
        </w:rPr>
      </w:pPr>
    </w:p>
    <w:p w14:paraId="2FA5C6C2" w14:textId="77777777" w:rsidR="00C53297" w:rsidRPr="003E71F3" w:rsidRDefault="00C53297" w:rsidP="00C53297">
      <w:pPr>
        <w:pStyle w:val="Testonormale"/>
        <w:jc w:val="both"/>
        <w:rPr>
          <w:i/>
          <w:iCs/>
          <w:sz w:val="24"/>
          <w:szCs w:val="24"/>
        </w:rPr>
      </w:pPr>
      <w:r w:rsidRPr="00C53297">
        <w:rPr>
          <w:sz w:val="24"/>
          <w:szCs w:val="24"/>
        </w:rPr>
        <w:t xml:space="preserve">La Cassazione prosegue: </w:t>
      </w:r>
      <w:r w:rsidRPr="003E71F3">
        <w:rPr>
          <w:i/>
          <w:iCs/>
          <w:sz w:val="24"/>
          <w:szCs w:val="24"/>
        </w:rPr>
        <w:t>“L'esenzione prevista in favore del Comune dall'art. 49, comma 1, lett. a), del d.lgs. n. 507 del 1993 in ragione del carattere eccezionale delle norme di agevolazione tributaria non può trovare applicazione al di là degli stretti confini stabiliti dalla disposizione nella identificazione dei soggetti destinatari (sicché, come ha avuto modo di rilevare questa Corte, tale esenzione nemmeno può essere applicata in favore di una società partecipata dal Comune, quand'anche operante come società in house providing: v. Cass. n. 25300 del 2017);”</w:t>
      </w:r>
    </w:p>
    <w:p w14:paraId="18B70068" w14:textId="77777777" w:rsidR="003E71F3" w:rsidRDefault="003E71F3" w:rsidP="00C53297">
      <w:pPr>
        <w:pStyle w:val="Testonormale"/>
        <w:jc w:val="both"/>
        <w:rPr>
          <w:sz w:val="24"/>
          <w:szCs w:val="24"/>
        </w:rPr>
      </w:pPr>
    </w:p>
    <w:p w14:paraId="7638E76E" w14:textId="3DDE3739" w:rsidR="00C53297" w:rsidRDefault="003E71F3" w:rsidP="00C53297">
      <w:pPr>
        <w:pStyle w:val="Testonormale"/>
        <w:jc w:val="both"/>
        <w:rPr>
          <w:sz w:val="24"/>
          <w:szCs w:val="24"/>
        </w:rPr>
      </w:pPr>
      <w:r>
        <w:rPr>
          <w:sz w:val="24"/>
          <w:szCs w:val="24"/>
        </w:rPr>
        <w:t>È chiaro</w:t>
      </w:r>
      <w:r w:rsidR="0027671B">
        <w:rPr>
          <w:sz w:val="24"/>
          <w:szCs w:val="24"/>
        </w:rPr>
        <w:t xml:space="preserve"> e circostanziato</w:t>
      </w:r>
      <w:r>
        <w:rPr>
          <w:sz w:val="24"/>
          <w:szCs w:val="24"/>
        </w:rPr>
        <w:t xml:space="preserve"> </w:t>
      </w:r>
      <w:r w:rsidR="008944A3">
        <w:rPr>
          <w:sz w:val="24"/>
          <w:szCs w:val="24"/>
        </w:rPr>
        <w:t xml:space="preserve">dunque </w:t>
      </w:r>
      <w:r>
        <w:rPr>
          <w:sz w:val="24"/>
          <w:szCs w:val="24"/>
        </w:rPr>
        <w:t>il richiamo al principio che vuole l</w:t>
      </w:r>
      <w:r w:rsidR="00C53297" w:rsidRPr="00C53297">
        <w:rPr>
          <w:sz w:val="24"/>
          <w:szCs w:val="24"/>
        </w:rPr>
        <w:t>e norme fiscali di agevolazione di “stretta interpretazione”</w:t>
      </w:r>
      <w:r>
        <w:rPr>
          <w:sz w:val="24"/>
          <w:szCs w:val="24"/>
        </w:rPr>
        <w:t xml:space="preserve">, così che </w:t>
      </w:r>
      <w:r w:rsidR="00C53297" w:rsidRPr="00C53297">
        <w:rPr>
          <w:sz w:val="24"/>
          <w:szCs w:val="24"/>
        </w:rPr>
        <w:t>non possono trovare estensione a casi in cui</w:t>
      </w:r>
      <w:r>
        <w:rPr>
          <w:sz w:val="24"/>
          <w:szCs w:val="24"/>
        </w:rPr>
        <w:t>, come quello in parola,</w:t>
      </w:r>
      <w:r w:rsidR="00C53297" w:rsidRPr="00C53297">
        <w:rPr>
          <w:sz w:val="24"/>
          <w:szCs w:val="24"/>
        </w:rPr>
        <w:t xml:space="preserve"> </w:t>
      </w:r>
      <w:r w:rsidR="008944A3">
        <w:rPr>
          <w:sz w:val="24"/>
          <w:szCs w:val="24"/>
        </w:rPr>
        <w:t xml:space="preserve">dove </w:t>
      </w:r>
      <w:r w:rsidR="00C53297" w:rsidRPr="00C53297">
        <w:rPr>
          <w:sz w:val="24"/>
          <w:szCs w:val="24"/>
        </w:rPr>
        <w:t>non si riscontr</w:t>
      </w:r>
      <w:r w:rsidR="008944A3">
        <w:rPr>
          <w:sz w:val="24"/>
          <w:szCs w:val="24"/>
        </w:rPr>
        <w:t>a</w:t>
      </w:r>
      <w:r w:rsidR="00C53297" w:rsidRPr="00C53297">
        <w:rPr>
          <w:sz w:val="24"/>
          <w:szCs w:val="24"/>
        </w:rPr>
        <w:t xml:space="preserve">no i requisiti soggettivi </w:t>
      </w:r>
      <w:r w:rsidR="008944A3">
        <w:rPr>
          <w:sz w:val="24"/>
          <w:szCs w:val="24"/>
        </w:rPr>
        <w:t>e</w:t>
      </w:r>
      <w:r w:rsidR="00C53297" w:rsidRPr="00C53297">
        <w:rPr>
          <w:sz w:val="24"/>
          <w:szCs w:val="24"/>
        </w:rPr>
        <w:t xml:space="preserve"> oggettivi previsti dalla norma di agevolazione.</w:t>
      </w:r>
    </w:p>
    <w:p w14:paraId="42A0D6E6" w14:textId="77777777" w:rsidR="003E71F3" w:rsidRDefault="003E71F3" w:rsidP="00C53297">
      <w:pPr>
        <w:pStyle w:val="Testonormale"/>
        <w:jc w:val="both"/>
        <w:rPr>
          <w:sz w:val="24"/>
          <w:szCs w:val="24"/>
        </w:rPr>
      </w:pPr>
    </w:p>
    <w:p w14:paraId="25B586EE" w14:textId="5EE22DEC" w:rsidR="00060149" w:rsidRDefault="003E71F3" w:rsidP="0027671B">
      <w:pPr>
        <w:pStyle w:val="Testonormale"/>
        <w:jc w:val="both"/>
        <w:rPr>
          <w:sz w:val="24"/>
          <w:szCs w:val="24"/>
        </w:rPr>
      </w:pPr>
      <w:r>
        <w:rPr>
          <w:sz w:val="24"/>
          <w:szCs w:val="24"/>
        </w:rPr>
        <w:t xml:space="preserve">Eppure in passato l’orientamento </w:t>
      </w:r>
      <w:r w:rsidR="00FE53EA">
        <w:rPr>
          <w:sz w:val="24"/>
          <w:szCs w:val="24"/>
        </w:rPr>
        <w:t xml:space="preserve">giurisprudenziale </w:t>
      </w:r>
      <w:r w:rsidR="0092203E">
        <w:rPr>
          <w:sz w:val="24"/>
          <w:szCs w:val="24"/>
        </w:rPr>
        <w:t>aveva preso una direzione diversa</w:t>
      </w:r>
      <w:r>
        <w:rPr>
          <w:sz w:val="24"/>
          <w:szCs w:val="24"/>
        </w:rPr>
        <w:t>.</w:t>
      </w:r>
      <w:r w:rsidR="0092203E">
        <w:rPr>
          <w:sz w:val="24"/>
          <w:szCs w:val="24"/>
        </w:rPr>
        <w:t xml:space="preserve"> </w:t>
      </w:r>
    </w:p>
    <w:p w14:paraId="362B54B3" w14:textId="4265D998" w:rsidR="0027671B" w:rsidRDefault="0027671B" w:rsidP="0027671B">
      <w:pPr>
        <w:pStyle w:val="Testonormale"/>
        <w:jc w:val="both"/>
        <w:rPr>
          <w:i/>
          <w:iCs/>
          <w:sz w:val="24"/>
          <w:szCs w:val="24"/>
        </w:rPr>
      </w:pPr>
      <w:r>
        <w:rPr>
          <w:sz w:val="24"/>
          <w:szCs w:val="24"/>
        </w:rPr>
        <w:lastRenderedPageBreak/>
        <w:t>I</w:t>
      </w:r>
      <w:r w:rsidRPr="0027671B">
        <w:rPr>
          <w:sz w:val="24"/>
          <w:szCs w:val="24"/>
        </w:rPr>
        <w:t xml:space="preserve">l Ministero delle Finanze con la risoluzione del 1° agosto 2000, n. 125/E </w:t>
      </w:r>
      <w:r>
        <w:rPr>
          <w:sz w:val="24"/>
          <w:szCs w:val="24"/>
        </w:rPr>
        <w:t xml:space="preserve">riconobbe infatti </w:t>
      </w:r>
      <w:r w:rsidRPr="0027671B">
        <w:rPr>
          <w:sz w:val="24"/>
          <w:szCs w:val="24"/>
        </w:rPr>
        <w:t>l’esenzione dalla tassa anche per le occupazioni di spazi ed aree pubbliche effettuate</w:t>
      </w:r>
      <w:r>
        <w:rPr>
          <w:sz w:val="24"/>
          <w:szCs w:val="24"/>
        </w:rPr>
        <w:t xml:space="preserve"> </w:t>
      </w:r>
      <w:r w:rsidRPr="0027671B">
        <w:rPr>
          <w:sz w:val="24"/>
          <w:szCs w:val="24"/>
        </w:rPr>
        <w:t>dalle imprese affidatarie di lavori da realizzare per conto dello Stato. Con tale risoluzione</w:t>
      </w:r>
      <w:r>
        <w:rPr>
          <w:sz w:val="24"/>
          <w:szCs w:val="24"/>
        </w:rPr>
        <w:t xml:space="preserve"> </w:t>
      </w:r>
      <w:r w:rsidRPr="0027671B">
        <w:rPr>
          <w:sz w:val="24"/>
          <w:szCs w:val="24"/>
        </w:rPr>
        <w:t>l’Amministrazione finanziaria recepiva quanto sostenuto dalla Corte di Cassazione nella sentenza</w:t>
      </w:r>
      <w:r>
        <w:rPr>
          <w:sz w:val="24"/>
          <w:szCs w:val="24"/>
        </w:rPr>
        <w:t xml:space="preserve"> </w:t>
      </w:r>
      <w:r w:rsidRPr="0027671B">
        <w:rPr>
          <w:sz w:val="24"/>
          <w:szCs w:val="24"/>
        </w:rPr>
        <w:t>30 maggio 2000, n. 7197, che aveva riconosciuto applicabile l’esenzione prevista dall’art. 49,</w:t>
      </w:r>
      <w:r>
        <w:rPr>
          <w:sz w:val="24"/>
          <w:szCs w:val="24"/>
        </w:rPr>
        <w:t xml:space="preserve"> </w:t>
      </w:r>
      <w:r w:rsidRPr="0027671B">
        <w:rPr>
          <w:sz w:val="24"/>
          <w:szCs w:val="24"/>
        </w:rPr>
        <w:t>comma 1, lett. a) del Decreto Legislativo 15 novembre 1993, n. 507 anche nell’ipotesi in cui</w:t>
      </w:r>
      <w:r>
        <w:rPr>
          <w:sz w:val="24"/>
          <w:szCs w:val="24"/>
        </w:rPr>
        <w:t xml:space="preserve"> </w:t>
      </w:r>
      <w:r w:rsidRPr="0027671B">
        <w:rPr>
          <w:sz w:val="24"/>
          <w:szCs w:val="24"/>
        </w:rPr>
        <w:t>l’occupazione di aree del demanio comunale fosse effettuata da un imprenditore per l’esecuzione</w:t>
      </w:r>
      <w:r>
        <w:rPr>
          <w:sz w:val="24"/>
          <w:szCs w:val="24"/>
        </w:rPr>
        <w:t xml:space="preserve"> </w:t>
      </w:r>
      <w:r w:rsidRPr="0027671B">
        <w:rPr>
          <w:sz w:val="24"/>
          <w:szCs w:val="24"/>
        </w:rPr>
        <w:t xml:space="preserve">di un’opera pubblica appaltata dallo Stato. Nella sentenza si </w:t>
      </w:r>
      <w:r>
        <w:rPr>
          <w:sz w:val="24"/>
          <w:szCs w:val="24"/>
        </w:rPr>
        <w:t>prevedeva</w:t>
      </w:r>
      <w:r w:rsidRPr="0027671B">
        <w:rPr>
          <w:sz w:val="24"/>
          <w:szCs w:val="24"/>
        </w:rPr>
        <w:t xml:space="preserve">: </w:t>
      </w:r>
      <w:r w:rsidRPr="0027671B">
        <w:rPr>
          <w:i/>
          <w:iCs/>
          <w:sz w:val="24"/>
          <w:szCs w:val="24"/>
        </w:rPr>
        <w:t>«spetta l'esenzione dalla tassa per l'occupazione di spazi e aree pubbliche per l'esecuzione di un'opera pubblica appaltata dallo Stato, in quanto l'opera, realizzata in esecuzione di obbligo contrattuale, è stata svolta dall'appaltatore per conto dello Stato, al quale deve farsi, quindi, risalire la titolarità dell'occupazione».</w:t>
      </w:r>
    </w:p>
    <w:p w14:paraId="1242BCF3" w14:textId="77777777" w:rsidR="0027671B" w:rsidRDefault="0027671B" w:rsidP="0027671B">
      <w:pPr>
        <w:pStyle w:val="Testonormale"/>
        <w:jc w:val="both"/>
        <w:rPr>
          <w:i/>
          <w:iCs/>
          <w:sz w:val="24"/>
          <w:szCs w:val="24"/>
        </w:rPr>
      </w:pPr>
    </w:p>
    <w:p w14:paraId="29FDBEC1" w14:textId="53CBDFA0" w:rsidR="00816BD2" w:rsidRDefault="0027671B" w:rsidP="0027671B">
      <w:pPr>
        <w:pStyle w:val="Testonormale"/>
        <w:jc w:val="both"/>
        <w:rPr>
          <w:sz w:val="24"/>
          <w:szCs w:val="24"/>
        </w:rPr>
      </w:pPr>
      <w:r>
        <w:rPr>
          <w:sz w:val="24"/>
          <w:szCs w:val="24"/>
        </w:rPr>
        <w:t xml:space="preserve">Oggi come detto, </w:t>
      </w:r>
      <w:r w:rsidR="00816BD2">
        <w:rPr>
          <w:sz w:val="24"/>
          <w:szCs w:val="24"/>
        </w:rPr>
        <w:t>la</w:t>
      </w:r>
      <w:r>
        <w:rPr>
          <w:sz w:val="24"/>
          <w:szCs w:val="24"/>
        </w:rPr>
        <w:t xml:space="preserve"> Suprema Corte di Cassazione </w:t>
      </w:r>
      <w:r w:rsidR="00816BD2">
        <w:rPr>
          <w:sz w:val="24"/>
          <w:szCs w:val="24"/>
        </w:rPr>
        <w:t xml:space="preserve">fornisce un diverso orientamento basato sul principio che vuole le norme di agevolazione fiscale aventi </w:t>
      </w:r>
      <w:r w:rsidRPr="0027671B">
        <w:rPr>
          <w:sz w:val="24"/>
          <w:szCs w:val="24"/>
        </w:rPr>
        <w:t xml:space="preserve">natura eccezionale, </w:t>
      </w:r>
      <w:r w:rsidR="00816BD2">
        <w:rPr>
          <w:sz w:val="24"/>
          <w:szCs w:val="24"/>
        </w:rPr>
        <w:t xml:space="preserve">e </w:t>
      </w:r>
      <w:r w:rsidRPr="0027671B">
        <w:rPr>
          <w:sz w:val="24"/>
          <w:szCs w:val="24"/>
        </w:rPr>
        <w:t>la loro</w:t>
      </w:r>
      <w:r w:rsidR="00816BD2">
        <w:rPr>
          <w:sz w:val="24"/>
          <w:szCs w:val="24"/>
        </w:rPr>
        <w:t xml:space="preserve"> </w:t>
      </w:r>
      <w:r w:rsidRPr="0027671B">
        <w:rPr>
          <w:sz w:val="24"/>
          <w:szCs w:val="24"/>
        </w:rPr>
        <w:t>osservanza di stretta interpretazione</w:t>
      </w:r>
      <w:r w:rsidR="00816BD2">
        <w:rPr>
          <w:sz w:val="24"/>
          <w:szCs w:val="24"/>
        </w:rPr>
        <w:t>. In questo senso occorre sempre ricercare</w:t>
      </w:r>
      <w:r w:rsidR="008944A3">
        <w:rPr>
          <w:sz w:val="24"/>
          <w:szCs w:val="24"/>
        </w:rPr>
        <w:t xml:space="preserve"> come detto</w:t>
      </w:r>
      <w:r w:rsidR="00816BD2">
        <w:rPr>
          <w:sz w:val="24"/>
          <w:szCs w:val="24"/>
        </w:rPr>
        <w:t xml:space="preserve">, nelle diverse possibili casistiche, sia la presenza dei cosiddetti requisiti soggettivi, sia di quelli oggettivi, necessari per applicare la speciale esenzione dal prelievo previsto per le occupazioni di suolo pubblico. </w:t>
      </w:r>
    </w:p>
    <w:p w14:paraId="3C21E10E" w14:textId="77777777" w:rsidR="00816BD2" w:rsidRDefault="00816BD2" w:rsidP="0027671B">
      <w:pPr>
        <w:pStyle w:val="Testonormale"/>
        <w:jc w:val="both"/>
        <w:rPr>
          <w:sz w:val="24"/>
          <w:szCs w:val="24"/>
        </w:rPr>
      </w:pPr>
    </w:p>
    <w:p w14:paraId="6EC8A26B" w14:textId="0D97D8D9" w:rsidR="00816BD2" w:rsidRPr="0027671B" w:rsidRDefault="0027671B" w:rsidP="00816BD2">
      <w:pPr>
        <w:pStyle w:val="Testonormale"/>
        <w:jc w:val="both"/>
        <w:rPr>
          <w:sz w:val="24"/>
          <w:szCs w:val="24"/>
        </w:rPr>
      </w:pPr>
      <w:r w:rsidRPr="0027671B">
        <w:rPr>
          <w:sz w:val="24"/>
          <w:szCs w:val="24"/>
        </w:rPr>
        <w:t xml:space="preserve">In definitiva, </w:t>
      </w:r>
      <w:r w:rsidR="00816BD2">
        <w:rPr>
          <w:sz w:val="24"/>
          <w:szCs w:val="24"/>
        </w:rPr>
        <w:t xml:space="preserve">nel caso oggetto del quesito, </w:t>
      </w:r>
      <w:r w:rsidR="009E0832">
        <w:rPr>
          <w:sz w:val="24"/>
          <w:szCs w:val="24"/>
        </w:rPr>
        <w:t xml:space="preserve">senza </w:t>
      </w:r>
      <w:r w:rsidR="009E0832" w:rsidRPr="0027671B">
        <w:rPr>
          <w:sz w:val="24"/>
          <w:szCs w:val="24"/>
        </w:rPr>
        <w:t>rischiare di</w:t>
      </w:r>
      <w:r w:rsidR="009E0832">
        <w:rPr>
          <w:sz w:val="24"/>
          <w:szCs w:val="24"/>
        </w:rPr>
        <w:t xml:space="preserve"> </w:t>
      </w:r>
      <w:r w:rsidR="009E0832" w:rsidRPr="0027671B">
        <w:rPr>
          <w:sz w:val="24"/>
          <w:szCs w:val="24"/>
        </w:rPr>
        <w:t>avventurarsi in interpretazioni estensive vietate in materia di agevolazioni fiscali</w:t>
      </w:r>
      <w:r w:rsidR="009E0832">
        <w:rPr>
          <w:sz w:val="24"/>
          <w:szCs w:val="24"/>
        </w:rPr>
        <w:t xml:space="preserve">, </w:t>
      </w:r>
      <w:r w:rsidR="009E0832">
        <w:rPr>
          <w:sz w:val="24"/>
          <w:szCs w:val="24"/>
        </w:rPr>
        <w:t>si consiglia di applicare il Canone Unico per l’occupazione temporanea effettuata con il cantiere edile dalla ditta che esegue la manutenzione del Palazzo Municipale</w:t>
      </w:r>
      <w:r w:rsidR="009E0832">
        <w:rPr>
          <w:sz w:val="24"/>
          <w:szCs w:val="24"/>
        </w:rPr>
        <w:t xml:space="preserve">,  </w:t>
      </w:r>
      <w:r w:rsidR="00816BD2">
        <w:rPr>
          <w:sz w:val="24"/>
          <w:szCs w:val="24"/>
        </w:rPr>
        <w:t>salva specifica diversa disposizione regolamentare</w:t>
      </w:r>
      <w:r w:rsidR="009E0832">
        <w:rPr>
          <w:sz w:val="24"/>
          <w:szCs w:val="24"/>
        </w:rPr>
        <w:t xml:space="preserve">, </w:t>
      </w:r>
      <w:r w:rsidR="008944A3">
        <w:rPr>
          <w:sz w:val="24"/>
          <w:szCs w:val="24"/>
        </w:rPr>
        <w:t xml:space="preserve">che sarebbe legittima in forza della potestà ed autonomia regolamentare riconosciuta </w:t>
      </w:r>
      <w:r w:rsidR="009E0832">
        <w:rPr>
          <w:sz w:val="24"/>
          <w:szCs w:val="24"/>
        </w:rPr>
        <w:t>dall’articolo 52 del D.Lgs 446/97</w:t>
      </w:r>
      <w:r w:rsidR="009E0832">
        <w:rPr>
          <w:sz w:val="24"/>
          <w:szCs w:val="24"/>
        </w:rPr>
        <w:t xml:space="preserve"> </w:t>
      </w:r>
      <w:r w:rsidR="008944A3">
        <w:rPr>
          <w:sz w:val="24"/>
          <w:szCs w:val="24"/>
        </w:rPr>
        <w:t xml:space="preserve">agli enti Locali </w:t>
      </w:r>
      <w:r w:rsidR="009E0832">
        <w:rPr>
          <w:sz w:val="24"/>
          <w:szCs w:val="24"/>
        </w:rPr>
        <w:t>in materia di proprie entrate</w:t>
      </w:r>
      <w:r w:rsidR="009E0832">
        <w:rPr>
          <w:sz w:val="24"/>
          <w:szCs w:val="24"/>
        </w:rPr>
        <w:t>.</w:t>
      </w:r>
      <w:r w:rsidRPr="0027671B">
        <w:rPr>
          <w:sz w:val="24"/>
          <w:szCs w:val="24"/>
        </w:rPr>
        <w:t xml:space="preserve"> </w:t>
      </w:r>
    </w:p>
    <w:p w14:paraId="2555C4BA" w14:textId="60F4009D" w:rsidR="0027671B" w:rsidRPr="0027671B" w:rsidRDefault="0027671B" w:rsidP="0027671B">
      <w:pPr>
        <w:pStyle w:val="Testonormale"/>
        <w:jc w:val="both"/>
        <w:rPr>
          <w:sz w:val="24"/>
          <w:szCs w:val="24"/>
        </w:rPr>
      </w:pPr>
    </w:p>
    <w:sectPr w:rsidR="0027671B" w:rsidRPr="002767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668"/>
    <w:rsid w:val="00054668"/>
    <w:rsid w:val="00060149"/>
    <w:rsid w:val="0022652B"/>
    <w:rsid w:val="0027671B"/>
    <w:rsid w:val="003E71F3"/>
    <w:rsid w:val="0065633C"/>
    <w:rsid w:val="00816BD2"/>
    <w:rsid w:val="00850E48"/>
    <w:rsid w:val="008944A3"/>
    <w:rsid w:val="0092203E"/>
    <w:rsid w:val="009E0832"/>
    <w:rsid w:val="00C53297"/>
    <w:rsid w:val="00CF097C"/>
    <w:rsid w:val="00DC4968"/>
    <w:rsid w:val="00FE53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52823"/>
  <w15:chartTrackingRefBased/>
  <w15:docId w15:val="{F19800D3-4BB1-45C5-B69B-EE6A7131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rmale">
    <w:name w:val="Plain Text"/>
    <w:basedOn w:val="Normale"/>
    <w:link w:val="TestonormaleCarattere"/>
    <w:uiPriority w:val="99"/>
    <w:unhideWhenUsed/>
    <w:rsid w:val="00CF097C"/>
    <w:pPr>
      <w:spacing w:after="0" w:line="240" w:lineRule="auto"/>
    </w:pPr>
    <w:rPr>
      <w:rFonts w:ascii="Calibri" w:eastAsia="Times New Roman" w:hAnsi="Calibri"/>
      <w:szCs w:val="21"/>
    </w:rPr>
  </w:style>
  <w:style w:type="character" w:customStyle="1" w:styleId="TestonormaleCarattere">
    <w:name w:val="Testo normale Carattere"/>
    <w:basedOn w:val="Carpredefinitoparagrafo"/>
    <w:link w:val="Testonormale"/>
    <w:uiPriority w:val="99"/>
    <w:rsid w:val="00CF097C"/>
    <w:rPr>
      <w:rFonts w:ascii="Calibri" w:eastAsia="Times New Roman"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5543">
      <w:bodyDiv w:val="1"/>
      <w:marLeft w:val="0"/>
      <w:marRight w:val="0"/>
      <w:marTop w:val="0"/>
      <w:marBottom w:val="0"/>
      <w:divBdr>
        <w:top w:val="none" w:sz="0" w:space="0" w:color="auto"/>
        <w:left w:val="none" w:sz="0" w:space="0" w:color="auto"/>
        <w:bottom w:val="none" w:sz="0" w:space="0" w:color="auto"/>
        <w:right w:val="none" w:sz="0" w:space="0" w:color="auto"/>
      </w:divBdr>
    </w:div>
    <w:div w:id="1797332448">
      <w:bodyDiv w:val="1"/>
      <w:marLeft w:val="0"/>
      <w:marRight w:val="0"/>
      <w:marTop w:val="0"/>
      <w:marBottom w:val="0"/>
      <w:divBdr>
        <w:top w:val="none" w:sz="0" w:space="0" w:color="auto"/>
        <w:left w:val="none" w:sz="0" w:space="0" w:color="auto"/>
        <w:bottom w:val="none" w:sz="0" w:space="0" w:color="auto"/>
        <w:right w:val="none" w:sz="0" w:space="0" w:color="auto"/>
      </w:divBdr>
    </w:div>
    <w:div w:id="1850093526">
      <w:bodyDiv w:val="1"/>
      <w:marLeft w:val="0"/>
      <w:marRight w:val="0"/>
      <w:marTop w:val="0"/>
      <w:marBottom w:val="0"/>
      <w:divBdr>
        <w:top w:val="none" w:sz="0" w:space="0" w:color="auto"/>
        <w:left w:val="none" w:sz="0" w:space="0" w:color="auto"/>
        <w:bottom w:val="none" w:sz="0" w:space="0" w:color="auto"/>
        <w:right w:val="none" w:sz="0" w:space="0" w:color="auto"/>
      </w:divBdr>
    </w:div>
    <w:div w:id="201387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838</Words>
  <Characters>4781</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11</cp:revision>
  <dcterms:created xsi:type="dcterms:W3CDTF">2024-03-15T07:02:00Z</dcterms:created>
  <dcterms:modified xsi:type="dcterms:W3CDTF">2024-03-15T13:55:00Z</dcterms:modified>
</cp:coreProperties>
</file>